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1F6" w:rsidRDefault="00AD71F6" w:rsidP="00AD71F6">
      <w:pPr>
        <w:pStyle w:val="BodyText"/>
        <w:kinsoku w:val="0"/>
        <w:overflowPunct w:val="0"/>
        <w:spacing w:before="10"/>
        <w:rPr>
          <w:rFonts w:ascii="Times New Roman" w:hAnsi="Times New Roman" w:cs="Times New Roman"/>
          <w:b w:val="0"/>
          <w:bCs w:val="0"/>
          <w:sz w:val="25"/>
          <w:szCs w:val="25"/>
        </w:rPr>
      </w:pPr>
      <w:r w:rsidRPr="00AD71F6">
        <w:rPr>
          <w:b w:val="0"/>
          <w:bCs w:val="0"/>
          <w:noProof/>
          <w:sz w:val="18"/>
          <w:szCs w:val="18"/>
        </w:rPr>
        <w:drawing>
          <wp:anchor distT="0" distB="0" distL="114300" distR="114300" simplePos="0" relativeHeight="251660288" behindDoc="0" locked="0" layoutInCell="1" allowOverlap="1">
            <wp:simplePos x="0" y="0"/>
            <wp:positionH relativeFrom="column">
              <wp:posOffset>71755</wp:posOffset>
            </wp:positionH>
            <wp:positionV relativeFrom="paragraph">
              <wp:posOffset>8388</wp:posOffset>
            </wp:positionV>
            <wp:extent cx="898559" cy="9807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8559" cy="98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71F6" w:rsidRDefault="00AD71F6" w:rsidP="00AD71F6">
      <w:pPr>
        <w:pStyle w:val="BodyText"/>
        <w:kinsoku w:val="0"/>
        <w:overflowPunct w:val="0"/>
        <w:spacing w:before="38"/>
        <w:ind w:left="1766" w:right="6753"/>
        <w:rPr>
          <w:b w:val="0"/>
          <w:bCs w:val="0"/>
          <w:sz w:val="18"/>
          <w:szCs w:val="18"/>
        </w:rPr>
      </w:pPr>
      <w:r>
        <w:rPr>
          <w:b w:val="0"/>
          <w:bCs w:val="0"/>
          <w:sz w:val="18"/>
          <w:szCs w:val="18"/>
        </w:rPr>
        <w:t>United States Department of Agriculture</w:t>
      </w:r>
    </w:p>
    <w:p w:rsidR="00AD71F6" w:rsidRDefault="00AD71F6" w:rsidP="00AD71F6">
      <w:pPr>
        <w:pStyle w:val="BodyText"/>
        <w:kinsoku w:val="0"/>
        <w:overflowPunct w:val="0"/>
        <w:rPr>
          <w:b w:val="0"/>
          <w:bCs w:val="0"/>
          <w:sz w:val="18"/>
          <w:szCs w:val="18"/>
        </w:rPr>
      </w:pPr>
    </w:p>
    <w:p w:rsidR="00AD71F6" w:rsidRDefault="00AD71F6" w:rsidP="00AD71F6">
      <w:pPr>
        <w:pStyle w:val="BodyText"/>
        <w:kinsoku w:val="0"/>
        <w:overflowPunct w:val="0"/>
        <w:ind w:left="1766" w:right="6403"/>
        <w:rPr>
          <w:b w:val="0"/>
          <w:bCs w:val="0"/>
          <w:sz w:val="18"/>
          <w:szCs w:val="18"/>
        </w:rPr>
      </w:pPr>
      <w:r>
        <w:rPr>
          <w:b w:val="0"/>
          <w:bCs w:val="0"/>
          <w:sz w:val="18"/>
          <w:szCs w:val="18"/>
        </w:rPr>
        <w:t>Natural Resources Conservation Service</w:t>
      </w:r>
    </w:p>
    <w:p w:rsidR="00AD71F6" w:rsidRDefault="00AD71F6" w:rsidP="00AD71F6">
      <w:pPr>
        <w:pStyle w:val="BodyText"/>
        <w:kinsoku w:val="0"/>
        <w:overflowPunct w:val="0"/>
        <w:rPr>
          <w:b w:val="0"/>
          <w:bCs w:val="0"/>
          <w:sz w:val="18"/>
          <w:szCs w:val="18"/>
        </w:rPr>
      </w:pPr>
    </w:p>
    <w:p w:rsidR="00AD71F6" w:rsidRPr="00D95880" w:rsidRDefault="00D95880" w:rsidP="00AD71F6">
      <w:pPr>
        <w:pStyle w:val="Heading1"/>
        <w:kinsoku w:val="0"/>
        <w:overflowPunct w:val="0"/>
        <w:rPr>
          <w:rFonts w:ascii="Arial" w:hAnsi="Arial" w:cs="Arial"/>
        </w:rPr>
      </w:pPr>
      <w:r>
        <w:tab/>
      </w:r>
      <w:r>
        <w:tab/>
      </w:r>
      <w:r w:rsidR="00AD71F6" w:rsidRPr="00D95880">
        <w:rPr>
          <w:rFonts w:ascii="Arial" w:hAnsi="Arial" w:cs="Arial"/>
          <w:sz w:val="66"/>
        </w:rPr>
        <w:t>Oregon</w:t>
      </w:r>
    </w:p>
    <w:p w:rsidR="00AD71F6" w:rsidRDefault="00AD71F6" w:rsidP="00AD71F6">
      <w:pPr>
        <w:pStyle w:val="BodyText"/>
        <w:kinsoku w:val="0"/>
        <w:overflowPunct w:val="0"/>
        <w:spacing w:after="75"/>
        <w:ind w:left="2040"/>
        <w:rPr>
          <w:sz w:val="72"/>
          <w:szCs w:val="72"/>
        </w:rPr>
      </w:pPr>
      <w:r>
        <w:rPr>
          <w:sz w:val="72"/>
          <w:szCs w:val="72"/>
        </w:rPr>
        <w:t>Basin Outlook Report</w:t>
      </w:r>
    </w:p>
    <w:p w:rsidR="00AD71F6" w:rsidRDefault="00AD71F6" w:rsidP="00AD71F6">
      <w:pPr>
        <w:pStyle w:val="BodyText"/>
        <w:kinsoku w:val="0"/>
        <w:overflowPunct w:val="0"/>
        <w:spacing w:line="20" w:lineRule="exact"/>
        <w:ind w:left="1934"/>
        <w:rPr>
          <w:b w:val="0"/>
          <w:bCs w:val="0"/>
          <w:sz w:val="2"/>
          <w:szCs w:val="2"/>
        </w:rPr>
      </w:pPr>
      <w:r>
        <w:rPr>
          <w:b w:val="0"/>
          <w:bCs w:val="0"/>
          <w:noProof/>
          <w:sz w:val="2"/>
          <w:szCs w:val="2"/>
        </w:rPr>
        <mc:AlternateContent>
          <mc:Choice Requires="wpg">
            <w:drawing>
              <wp:inline distT="0" distB="0" distL="0" distR="0">
                <wp:extent cx="4810125" cy="12700"/>
                <wp:effectExtent l="9525" t="9525"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12700"/>
                          <a:chOff x="0" y="0"/>
                          <a:chExt cx="7575" cy="20"/>
                        </a:xfrm>
                      </wpg:grpSpPr>
                      <wps:wsp>
                        <wps:cNvPr id="18" name="Freeform 3"/>
                        <wps:cNvSpPr>
                          <a:spLocks/>
                        </wps:cNvSpPr>
                        <wps:spPr bwMode="auto">
                          <a:xfrm>
                            <a:off x="7" y="7"/>
                            <a:ext cx="7560" cy="20"/>
                          </a:xfrm>
                          <a:custGeom>
                            <a:avLst/>
                            <a:gdLst>
                              <a:gd name="T0" fmla="*/ 0 w 7560"/>
                              <a:gd name="T1" fmla="*/ 0 h 20"/>
                              <a:gd name="T2" fmla="*/ 7560 w 7560"/>
                              <a:gd name="T3" fmla="*/ 0 h 20"/>
                            </a:gdLst>
                            <a:ahLst/>
                            <a:cxnLst>
                              <a:cxn ang="0">
                                <a:pos x="T0" y="T1"/>
                              </a:cxn>
                              <a:cxn ang="0">
                                <a:pos x="T2" y="T3"/>
                              </a:cxn>
                            </a:cxnLst>
                            <a:rect l="0" t="0" r="r" b="b"/>
                            <a:pathLst>
                              <a:path w="7560" h="20">
                                <a:moveTo>
                                  <a:pt x="0" y="0"/>
                                </a:moveTo>
                                <a:lnTo>
                                  <a:pt x="756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EDFFC3" id="Group 17" o:spid="_x0000_s1026" style="width:378.75pt;height:1pt;mso-position-horizontal-relative:char;mso-position-vertical-relative:line" coordsize="75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">
                <v:shape id="Freeform 3" o:spid="_x0000_s1027" style="position:absolute;left:7;top:7;width:7560;height:20;visibility:visible;mso-wrap-style:square;v-text-anchor:top" coordsize="7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" path="m,l7560,e" filled="f" strokeweight=".25397mm">
                  <v:path arrowok="t" o:connecttype="custom" o:connectlocs="0,0;7560,0" o:connectangles="0,0"/>
                </v:shape>
                <w10:anchorlock/>
              </v:group>
            </w:pict>
          </mc:Fallback>
        </mc:AlternateContent>
      </w:r>
    </w:p>
    <w:p w:rsidR="00AD71F6" w:rsidRDefault="00AD71F6" w:rsidP="00AD71F6">
      <w:pPr>
        <w:pStyle w:val="BodyText"/>
        <w:kinsoku w:val="0"/>
        <w:overflowPunct w:val="0"/>
        <w:spacing w:before="24"/>
        <w:ind w:left="2040"/>
        <w:rPr>
          <w:sz w:val="48"/>
          <w:szCs w:val="48"/>
        </w:rPr>
      </w:pPr>
      <w:r>
        <w:rPr>
          <w:sz w:val="48"/>
          <w:szCs w:val="48"/>
        </w:rPr>
        <w:t>January 1, 2017</w:t>
      </w:r>
    </w:p>
    <w:p w:rsidR="00AD71F6" w:rsidRDefault="00AD71F6" w:rsidP="00AD71F6">
      <w:pPr>
        <w:pStyle w:val="BodyText"/>
        <w:kinsoku w:val="0"/>
        <w:overflowPunct w:val="0"/>
      </w:pPr>
    </w:p>
    <w:p w:rsidR="00AD71F6" w:rsidRDefault="00AD71F6" w:rsidP="00AD71F6">
      <w:pPr>
        <w:pStyle w:val="BodyText"/>
        <w:kinsoku w:val="0"/>
        <w:overflowPunct w:val="0"/>
        <w:ind w:left="1065"/>
        <w:rPr>
          <w:b w:val="0"/>
          <w:bCs w:val="0"/>
        </w:rPr>
      </w:pPr>
      <w:r>
        <w:rPr>
          <w:b w:val="0"/>
          <w:bCs w:val="0"/>
          <w:noProof/>
        </w:rPr>
        <w:drawing>
          <wp:inline distT="0" distB="0" distL="0" distR="0">
            <wp:extent cx="5272405" cy="39497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2405" cy="3949700"/>
                    </a:xfrm>
                    <a:prstGeom prst="rect">
                      <a:avLst/>
                    </a:prstGeom>
                    <a:noFill/>
                    <a:ln>
                      <a:noFill/>
                    </a:ln>
                  </pic:spPr>
                </pic:pic>
              </a:graphicData>
            </a:graphic>
          </wp:inline>
        </w:drawing>
      </w:r>
    </w:p>
    <w:p w:rsidR="00AD71F6" w:rsidRDefault="00AD71F6" w:rsidP="00AD71F6">
      <w:pPr>
        <w:pStyle w:val="BodyText"/>
        <w:kinsoku w:val="0"/>
        <w:overflowPunct w:val="0"/>
        <w:spacing w:before="75"/>
        <w:ind w:left="5973"/>
        <w:rPr>
          <w:sz w:val="18"/>
          <w:szCs w:val="18"/>
        </w:rPr>
      </w:pPr>
      <w:r>
        <w:rPr>
          <w:sz w:val="18"/>
          <w:szCs w:val="18"/>
        </w:rPr>
        <w:t>The final sunset of 2016 over Crater Lake</w:t>
      </w:r>
    </w:p>
    <w:p w:rsidR="00AD71F6" w:rsidRDefault="00AD71F6" w:rsidP="00AD71F6">
      <w:pPr>
        <w:pStyle w:val="BodyText"/>
        <w:kinsoku w:val="0"/>
        <w:overflowPunct w:val="0"/>
        <w:spacing w:before="1"/>
        <w:ind w:left="4870"/>
        <w:rPr>
          <w:b w:val="0"/>
          <w:bCs w:val="0"/>
          <w:i/>
          <w:iCs/>
          <w:sz w:val="16"/>
          <w:szCs w:val="16"/>
        </w:rPr>
      </w:pPr>
      <w:r>
        <w:rPr>
          <w:b w:val="0"/>
          <w:bCs w:val="0"/>
          <w:i/>
          <w:iCs/>
          <w:sz w:val="16"/>
          <w:szCs w:val="16"/>
        </w:rPr>
        <w:t>Photo courtesy of Lauren Austin (Snow Surveyor, Oregon NRCS)</w:t>
      </w:r>
    </w:p>
    <w:p w:rsidR="00AD71F6" w:rsidRPr="00D95880" w:rsidRDefault="00AD71F6" w:rsidP="00AD71F6">
      <w:pPr>
        <w:pStyle w:val="BodyText"/>
        <w:kinsoku w:val="0"/>
        <w:overflowPunct w:val="0"/>
        <w:rPr>
          <w:b w:val="0"/>
          <w:bCs w:val="0"/>
          <w:i/>
          <w:iCs/>
          <w:sz w:val="22"/>
        </w:rPr>
      </w:pPr>
    </w:p>
    <w:p w:rsidR="00AD71F6" w:rsidRPr="00D95880" w:rsidRDefault="00AD71F6" w:rsidP="00AD71F6">
      <w:pPr>
        <w:pStyle w:val="BodyText"/>
        <w:kinsoku w:val="0"/>
        <w:overflowPunct w:val="0"/>
        <w:spacing w:before="35"/>
        <w:ind w:left="1049" w:right="208"/>
        <w:rPr>
          <w:b w:val="0"/>
          <w:sz w:val="22"/>
        </w:rPr>
      </w:pPr>
      <w:r w:rsidRPr="00D95880">
        <w:rPr>
          <w:b w:val="0"/>
          <w:sz w:val="22"/>
        </w:rPr>
        <w:t>A healthy snowpack blankets the mountains as 2016’s final rays of sunshine spread colors across the landscape of Crater Lake National Park. NRCS snow surveyors measured 8.5 feet of snow (138% of normal) on January 3</w:t>
      </w:r>
      <w:r w:rsidRPr="00D95880">
        <w:rPr>
          <w:b w:val="0"/>
          <w:position w:val="7"/>
          <w:sz w:val="15"/>
          <w:szCs w:val="13"/>
        </w:rPr>
        <w:t xml:space="preserve">rd </w:t>
      </w:r>
      <w:r w:rsidRPr="00D95880">
        <w:rPr>
          <w:b w:val="0"/>
          <w:sz w:val="22"/>
        </w:rPr>
        <w:t>at Park Headquarters snow course, which had the deepest snowpack measurement in the state. A rainy fall followed by a snowy December has left Oregon’s mountains with above normal snowpacks for the start of the New Year.</w:t>
      </w:r>
    </w:p>
    <w:p w:rsidR="00AD71F6" w:rsidRPr="00D95880" w:rsidRDefault="00AD71F6">
      <w:pPr>
        <w:rPr>
          <w:rFonts w:ascii="Arial" w:hAnsi="Arial" w:cs="Arial"/>
          <w:sz w:val="50"/>
          <w:szCs w:val="48"/>
        </w:rPr>
      </w:pPr>
      <w:bookmarkStart w:id="0" w:name="2_WSOR_2017_Jan_Narrative"/>
      <w:bookmarkStart w:id="1" w:name="General Outlook"/>
      <w:bookmarkEnd w:id="0"/>
      <w:bookmarkEnd w:id="1"/>
      <w:r w:rsidRPr="00D95880">
        <w:rPr>
          <w:b/>
          <w:bCs/>
          <w:sz w:val="50"/>
          <w:szCs w:val="48"/>
        </w:rPr>
        <w:br w:type="page"/>
      </w:r>
    </w:p>
    <w:p w:rsidR="00AD71F6" w:rsidRPr="00AD71F6" w:rsidRDefault="00AD71F6" w:rsidP="00AD71F6">
      <w:pPr>
        <w:pStyle w:val="BodyText"/>
        <w:kinsoku w:val="0"/>
        <w:overflowPunct w:val="0"/>
        <w:spacing w:before="134"/>
        <w:ind w:left="2934" w:right="85"/>
        <w:rPr>
          <w:bCs w:val="0"/>
          <w:sz w:val="48"/>
          <w:szCs w:val="48"/>
        </w:rPr>
      </w:pPr>
      <w:r w:rsidRPr="00AD71F6">
        <w:rPr>
          <w:bCs w:val="0"/>
          <w:sz w:val="48"/>
          <w:szCs w:val="48"/>
        </w:rPr>
        <w:t>General Outlook</w:t>
      </w:r>
    </w:p>
    <w:p w:rsidR="00AD71F6" w:rsidRPr="00AD71F6" w:rsidRDefault="00AD71F6" w:rsidP="00AD71F6">
      <w:pPr>
        <w:pStyle w:val="BodyText"/>
        <w:kinsoku w:val="0"/>
        <w:overflowPunct w:val="0"/>
        <w:spacing w:before="54"/>
        <w:ind w:left="3676" w:right="85"/>
        <w:rPr>
          <w:bCs w:val="0"/>
          <w:sz w:val="28"/>
          <w:szCs w:val="28"/>
        </w:rPr>
      </w:pPr>
      <w:r w:rsidRPr="00AD71F6">
        <w:rPr>
          <w:bCs w:val="0"/>
          <w:sz w:val="28"/>
          <w:szCs w:val="28"/>
        </w:rPr>
        <w:t>January 1</w:t>
      </w:r>
      <w:r w:rsidRPr="00AD71F6">
        <w:rPr>
          <w:bCs w:val="0"/>
          <w:position w:val="10"/>
          <w:sz w:val="18"/>
          <w:szCs w:val="18"/>
        </w:rPr>
        <w:t>st</w:t>
      </w:r>
      <w:r w:rsidRPr="00AD71F6">
        <w:rPr>
          <w:bCs w:val="0"/>
          <w:sz w:val="28"/>
          <w:szCs w:val="28"/>
        </w:rPr>
        <w:t>, 2017</w:t>
      </w:r>
    </w:p>
    <w:p w:rsidR="00AD71F6" w:rsidRPr="00AD71F6" w:rsidRDefault="00AD71F6" w:rsidP="00AD71F6">
      <w:pPr>
        <w:pStyle w:val="Heading1"/>
        <w:kinsoku w:val="0"/>
        <w:overflowPunct w:val="0"/>
        <w:rPr>
          <w:sz w:val="38"/>
        </w:rPr>
      </w:pPr>
      <w:r w:rsidRPr="00AD71F6">
        <w:rPr>
          <w:sz w:val="38"/>
        </w:rPr>
        <w:t>SUMMARY</w:t>
      </w:r>
    </w:p>
    <w:p w:rsidR="00AD71F6" w:rsidRPr="00AD71F6" w:rsidRDefault="00AD71F6" w:rsidP="00AD71F6">
      <w:pPr>
        <w:pStyle w:val="BodyText"/>
        <w:kinsoku w:val="0"/>
        <w:overflowPunct w:val="0"/>
        <w:spacing w:before="39" w:line="276" w:lineRule="auto"/>
        <w:ind w:left="119" w:right="85"/>
        <w:rPr>
          <w:b w:val="0"/>
          <w:color w:val="000000"/>
          <w:sz w:val="24"/>
        </w:rPr>
      </w:pPr>
      <w:r w:rsidRPr="00AD71F6">
        <w:rPr>
          <w:b w:val="0"/>
          <w:sz w:val="24"/>
        </w:rPr>
        <w:t>Record breaking October precipitation provided a great start to the new water year, building hopes of a good snow year to come. The month of December fortified these hopes with sustenance, delivering cold snow storms that blanketed the entire state. Snow levels dropped all the way down to the valley floors in normally rainy locations as snow continued piling up in the mountains. As of New Year’s Day, the snowpack is near normal to above normal throughout almost all of Oregon’s higher elevations. Based on the current conditions, spring and summer streamflow forecasts are projecting near average to above average streamflows for the water supply season. However, there are several months left in the snow accumulation season, which means there is a lot of uncertainty in these first forecasts of the year. Currently, the long term weather outlook from NOAAs Climate Prediction Center is calling for the next three months to bring above normal precipitation across Oregon (</w:t>
      </w:r>
      <w:hyperlink r:id="rId6" w:history="1">
        <w:r w:rsidRPr="00AD71F6">
          <w:rPr>
            <w:b w:val="0"/>
            <w:color w:val="0000FF"/>
            <w:sz w:val="24"/>
            <w:u w:val="single"/>
          </w:rPr>
          <w:t>http://www.cpc.ncep.noaa.gov/</w:t>
        </w:r>
      </w:hyperlink>
      <w:r w:rsidRPr="00AD71F6">
        <w:rPr>
          <w:b w:val="0"/>
          <w:color w:val="000000"/>
          <w:sz w:val="24"/>
        </w:rPr>
        <w:t>). If the rest of winter continues the wet, cold and snowy trend and spring snowmelt rate and timing are normal, then water supplies during the critical spring and summer months will likely be adequate.</w:t>
      </w:r>
    </w:p>
    <w:p w:rsidR="00AD71F6" w:rsidRPr="00AD71F6" w:rsidRDefault="00AD71F6" w:rsidP="00AD71F6">
      <w:pPr>
        <w:pStyle w:val="Heading1"/>
        <w:kinsoku w:val="0"/>
        <w:overflowPunct w:val="0"/>
        <w:rPr>
          <w:sz w:val="38"/>
        </w:rPr>
      </w:pPr>
      <w:r w:rsidRPr="00AD71F6">
        <w:rPr>
          <w:sz w:val="38"/>
        </w:rPr>
        <w:t>SNOWPACK</w:t>
      </w:r>
    </w:p>
    <w:p w:rsidR="00AD71F6" w:rsidRPr="00AD71F6" w:rsidRDefault="00AD71F6" w:rsidP="00AD71F6">
      <w:pPr>
        <w:pStyle w:val="BodyText"/>
        <w:kinsoku w:val="0"/>
        <w:overflowPunct w:val="0"/>
        <w:spacing w:before="39" w:line="276" w:lineRule="auto"/>
        <w:ind w:left="120" w:right="391"/>
        <w:rPr>
          <w:b w:val="0"/>
          <w:sz w:val="22"/>
        </w:rPr>
      </w:pPr>
      <w:r w:rsidRPr="00AD71F6">
        <w:rPr>
          <w:b w:val="0"/>
          <w:sz w:val="22"/>
        </w:rPr>
        <w:t>A snowy December helped ring in the New Year with near normal to above normal snowpack for almost the entire state. The series of cold wintery storms blanketed the state with snow, providing ample snow coverage throughout the mountains, closing interstates and schools around the state, while also bringing excellent powder for winter recreation opportunities.</w:t>
      </w:r>
    </w:p>
    <w:p w:rsidR="00AD71F6" w:rsidRPr="00AD71F6" w:rsidRDefault="00AD71F6" w:rsidP="00AD71F6">
      <w:pPr>
        <w:pStyle w:val="BodyText"/>
        <w:kinsoku w:val="0"/>
        <w:overflowPunct w:val="0"/>
        <w:spacing w:before="4"/>
        <w:rPr>
          <w:b w:val="0"/>
          <w:sz w:val="27"/>
          <w:szCs w:val="25"/>
        </w:rPr>
      </w:pPr>
    </w:p>
    <w:p w:rsidR="00AD71F6" w:rsidRPr="00AD71F6" w:rsidRDefault="00AD71F6" w:rsidP="00AD71F6">
      <w:pPr>
        <w:pStyle w:val="BodyText"/>
        <w:kinsoku w:val="0"/>
        <w:overflowPunct w:val="0"/>
        <w:spacing w:before="1" w:line="276" w:lineRule="auto"/>
        <w:ind w:left="120" w:right="85"/>
        <w:rPr>
          <w:b w:val="0"/>
          <w:sz w:val="22"/>
        </w:rPr>
      </w:pPr>
      <w:r w:rsidRPr="00AD71F6">
        <w:rPr>
          <w:b w:val="0"/>
          <w:sz w:val="22"/>
        </w:rPr>
        <w:t>As of January 1</w:t>
      </w:r>
      <w:r w:rsidRPr="00AD71F6">
        <w:rPr>
          <w:b w:val="0"/>
          <w:position w:val="7"/>
          <w:sz w:val="16"/>
          <w:szCs w:val="14"/>
        </w:rPr>
        <w:t>st</w:t>
      </w:r>
      <w:r w:rsidRPr="00AD71F6">
        <w:rPr>
          <w:b w:val="0"/>
          <w:sz w:val="22"/>
        </w:rPr>
        <w:t>, the statewide snowpack is 119% of normal. Overall, the Hood, Sandy and Lower Deschutes basins have the highest snowpack in the state at 136% of normal, while the Klamath basin has the lowest January 1</w:t>
      </w:r>
      <w:r w:rsidRPr="00AD71F6">
        <w:rPr>
          <w:b w:val="0"/>
          <w:position w:val="7"/>
          <w:sz w:val="16"/>
          <w:szCs w:val="14"/>
        </w:rPr>
        <w:t xml:space="preserve">st </w:t>
      </w:r>
      <w:r w:rsidRPr="00AD71F6">
        <w:rPr>
          <w:b w:val="0"/>
          <w:sz w:val="22"/>
        </w:rPr>
        <w:t>snowpack at 102% of normal. As always, there’s quite a bit of spatial variability in mountain snowpack, which can be explained by the variability within storm patterns. A few locations, mostly in southern Oregon and in the Wallowa Mountains, are currently storing below normal amounts of snow.</w:t>
      </w:r>
    </w:p>
    <w:p w:rsidR="00AD71F6" w:rsidRPr="00AD71F6" w:rsidRDefault="00AD71F6" w:rsidP="00AD71F6">
      <w:pPr>
        <w:pStyle w:val="Heading1"/>
        <w:kinsoku w:val="0"/>
        <w:overflowPunct w:val="0"/>
        <w:spacing w:before="1"/>
        <w:rPr>
          <w:sz w:val="38"/>
        </w:rPr>
      </w:pPr>
      <w:r w:rsidRPr="00AD71F6">
        <w:rPr>
          <w:sz w:val="38"/>
        </w:rPr>
        <w:t>PRECIPITATION</w:t>
      </w:r>
    </w:p>
    <w:p w:rsidR="00AD71F6" w:rsidRPr="00AD71F6" w:rsidRDefault="00AD71F6" w:rsidP="00AD71F6">
      <w:pPr>
        <w:pStyle w:val="BodyText"/>
        <w:kinsoku w:val="0"/>
        <w:overflowPunct w:val="0"/>
        <w:spacing w:before="40" w:line="276" w:lineRule="auto"/>
        <w:ind w:left="120" w:right="158"/>
        <w:rPr>
          <w:b w:val="0"/>
          <w:sz w:val="22"/>
        </w:rPr>
      </w:pPr>
      <w:r w:rsidRPr="00AD71F6">
        <w:rPr>
          <w:b w:val="0"/>
          <w:sz w:val="22"/>
        </w:rPr>
        <w:t>While most people celebrate the new calendar year on January 1</w:t>
      </w:r>
      <w:r w:rsidRPr="00AD71F6">
        <w:rPr>
          <w:b w:val="0"/>
          <w:position w:val="7"/>
          <w:sz w:val="16"/>
          <w:szCs w:val="14"/>
        </w:rPr>
        <w:t>st</w:t>
      </w:r>
      <w:r w:rsidRPr="00AD71F6">
        <w:rPr>
          <w:b w:val="0"/>
          <w:sz w:val="22"/>
        </w:rPr>
        <w:t>, the new water year began on October 1</w:t>
      </w:r>
      <w:r w:rsidRPr="00AD71F6">
        <w:rPr>
          <w:b w:val="0"/>
          <w:position w:val="7"/>
          <w:sz w:val="16"/>
          <w:szCs w:val="14"/>
        </w:rPr>
        <w:t>st</w:t>
      </w:r>
      <w:r w:rsidRPr="00AD71F6">
        <w:rPr>
          <w:b w:val="0"/>
          <w:sz w:val="22"/>
        </w:rPr>
        <w:t>. The mountains celebrated the new water year by experiencing the wettest October on record. Most long-term SNOTEL sites in Oregon received the highest October rainfall in over 30 years, which was two to four times more than the usual rainfall totals in many locations. North Fork SNOTEL in the Bull Run watershed near Portland collected 33.5 inches of rain in October, which was both a record for that site and the highest October precipitation total for a SNOTEL site in Oregon.</w:t>
      </w:r>
    </w:p>
    <w:p w:rsidR="00AD71F6" w:rsidRPr="00AD71F6" w:rsidRDefault="00AD71F6" w:rsidP="00AD71F6">
      <w:pPr>
        <w:pStyle w:val="BodyText"/>
        <w:kinsoku w:val="0"/>
        <w:overflowPunct w:val="0"/>
        <w:spacing w:before="4"/>
        <w:rPr>
          <w:b w:val="0"/>
          <w:sz w:val="27"/>
          <w:szCs w:val="25"/>
        </w:rPr>
      </w:pPr>
    </w:p>
    <w:p w:rsidR="00AD71F6" w:rsidRPr="00AD71F6" w:rsidRDefault="00AD71F6" w:rsidP="00AD71F6">
      <w:pPr>
        <w:pStyle w:val="BodyText"/>
        <w:kinsoku w:val="0"/>
        <w:overflowPunct w:val="0"/>
        <w:spacing w:line="276" w:lineRule="auto"/>
        <w:ind w:left="120" w:right="175" w:hanging="1"/>
        <w:rPr>
          <w:b w:val="0"/>
          <w:sz w:val="22"/>
        </w:rPr>
      </w:pPr>
      <w:r w:rsidRPr="00AD71F6">
        <w:rPr>
          <w:b w:val="0"/>
          <w:sz w:val="22"/>
        </w:rPr>
        <w:t>Most of the fall precipitation fell as rain, which is ideal for wetting up the soil profiles prior to snow accumulation. By December, precipitation transitioned to snow and quickly brought the snowpack up to near normal levels in the mountains. The water year-to-date precipitation totals range from 105% of average in the Harney basin to 136% of average in the Rogue and Umpqua basins.</w:t>
      </w:r>
    </w:p>
    <w:p w:rsidR="00AD71F6" w:rsidRPr="00AD71F6" w:rsidRDefault="00AD71F6" w:rsidP="00AD71F6">
      <w:pPr>
        <w:pStyle w:val="Heading1"/>
        <w:kinsoku w:val="0"/>
        <w:overflowPunct w:val="0"/>
        <w:spacing w:before="91"/>
        <w:rPr>
          <w:sz w:val="38"/>
          <w:szCs w:val="38"/>
        </w:rPr>
      </w:pPr>
      <w:r w:rsidRPr="00AD71F6">
        <w:rPr>
          <w:sz w:val="38"/>
          <w:szCs w:val="38"/>
        </w:rPr>
        <w:t>RESERVOIRS</w:t>
      </w:r>
    </w:p>
    <w:p w:rsidR="00AD71F6" w:rsidRPr="00AD71F6" w:rsidRDefault="00AD71F6" w:rsidP="00AD71F6">
      <w:pPr>
        <w:pStyle w:val="BodyText"/>
        <w:kinsoku w:val="0"/>
        <w:overflowPunct w:val="0"/>
        <w:spacing w:before="39" w:line="276" w:lineRule="auto"/>
        <w:ind w:left="120" w:right="133" w:hanging="1"/>
        <w:rPr>
          <w:b w:val="0"/>
          <w:sz w:val="24"/>
        </w:rPr>
      </w:pPr>
      <w:r w:rsidRPr="00AD71F6">
        <w:rPr>
          <w:b w:val="0"/>
          <w:sz w:val="24"/>
        </w:rPr>
        <w:t>Most reservoirs in the state are currently storing below average amounts of water. Below normal streamflow this past summer and water usage led to below average volumes going into this new season. As of the end of December, the group of reservoirs that are storing the lowest amount in the state is in the Umatilla, Walla Walla and Willow basins at 56% of average and the highest is in the Deschutes and Crooked River basins at 90% of average.</w:t>
      </w:r>
    </w:p>
    <w:p w:rsidR="00AD71F6" w:rsidRPr="00AD71F6" w:rsidRDefault="00AD71F6" w:rsidP="00AD71F6">
      <w:pPr>
        <w:pStyle w:val="Heading1"/>
        <w:kinsoku w:val="0"/>
        <w:overflowPunct w:val="0"/>
        <w:rPr>
          <w:sz w:val="38"/>
          <w:szCs w:val="38"/>
        </w:rPr>
      </w:pPr>
      <w:r w:rsidRPr="00AD71F6">
        <w:rPr>
          <w:sz w:val="38"/>
          <w:szCs w:val="38"/>
        </w:rPr>
        <w:t>STREAMFLOW</w:t>
      </w:r>
    </w:p>
    <w:p w:rsidR="00AD71F6" w:rsidRPr="00AD71F6" w:rsidRDefault="00AD71F6" w:rsidP="00AD71F6">
      <w:pPr>
        <w:pStyle w:val="BodyText"/>
        <w:kinsoku w:val="0"/>
        <w:overflowPunct w:val="0"/>
        <w:spacing w:before="40" w:line="276" w:lineRule="auto"/>
        <w:ind w:left="119" w:right="461"/>
        <w:rPr>
          <w:b w:val="0"/>
          <w:sz w:val="24"/>
        </w:rPr>
      </w:pPr>
      <w:r w:rsidRPr="00AD71F6">
        <w:rPr>
          <w:b w:val="0"/>
          <w:sz w:val="24"/>
        </w:rPr>
        <w:t>As of January 1</w:t>
      </w:r>
      <w:r w:rsidRPr="00AD71F6">
        <w:rPr>
          <w:b w:val="0"/>
          <w:position w:val="7"/>
          <w:sz w:val="18"/>
          <w:szCs w:val="14"/>
        </w:rPr>
        <w:t>st</w:t>
      </w:r>
      <w:r w:rsidRPr="00AD71F6">
        <w:rPr>
          <w:b w:val="0"/>
          <w:sz w:val="24"/>
        </w:rPr>
        <w:t>, most of the spring and summer forecasts are projecting near average to above average streamflow volumes based on the wet fall and near normal to above normal snowpack in Oregon. Last year at this time, the state-wide snowpack was also above normal and continued to hover near normal through April 1</w:t>
      </w:r>
      <w:r w:rsidRPr="00AD71F6">
        <w:rPr>
          <w:b w:val="0"/>
          <w:position w:val="7"/>
          <w:sz w:val="18"/>
          <w:szCs w:val="14"/>
        </w:rPr>
        <w:t>st</w:t>
      </w:r>
      <w:r w:rsidRPr="00AD71F6">
        <w:rPr>
          <w:b w:val="0"/>
          <w:sz w:val="24"/>
        </w:rPr>
        <w:t>. Rapid and record breaking snowmelt occurred during April which led to below normal summer streamflow. This highlights the uncertainty of early season streamflow forecasts.</w:t>
      </w:r>
    </w:p>
    <w:p w:rsidR="00AD71F6" w:rsidRPr="00AD71F6" w:rsidRDefault="00AD71F6" w:rsidP="00AD71F6">
      <w:pPr>
        <w:pStyle w:val="BodyText"/>
        <w:kinsoku w:val="0"/>
        <w:overflowPunct w:val="0"/>
        <w:spacing w:before="4"/>
        <w:rPr>
          <w:b w:val="0"/>
          <w:sz w:val="29"/>
          <w:szCs w:val="25"/>
        </w:rPr>
      </w:pPr>
    </w:p>
    <w:p w:rsidR="00AD71F6" w:rsidRPr="00AD71F6" w:rsidRDefault="00AD71F6" w:rsidP="00AD71F6">
      <w:pPr>
        <w:pStyle w:val="BodyText"/>
        <w:kinsoku w:val="0"/>
        <w:overflowPunct w:val="0"/>
        <w:spacing w:line="276" w:lineRule="auto"/>
        <w:ind w:left="119" w:right="125" w:hanging="1"/>
        <w:rPr>
          <w:b w:val="0"/>
          <w:sz w:val="24"/>
        </w:rPr>
      </w:pPr>
      <w:r w:rsidRPr="00AD71F6">
        <w:rPr>
          <w:b w:val="0"/>
          <w:sz w:val="24"/>
        </w:rPr>
        <w:t>This year, we have upgraded the streamflow forecast summary table typically published in this section to a colorful graphical representation, shown below. Previously, the table only listed the 50% chance of exceedance (median) forecast because it is the forecast most commonly used by water users. The new graphic depicts the full range of 5 streamflow forecast volumes that are provided for each station, which illustrates the range of possible streamflow outcomes depending on the future weather. We hope to expand this way of graphically presenting streamflow forecasts in the future and welcome any feedback about this product.</w:t>
      </w:r>
    </w:p>
    <w:p w:rsidR="00AD71F6" w:rsidRDefault="00AD71F6" w:rsidP="00D95880">
      <w:pPr>
        <w:pStyle w:val="BodyText"/>
        <w:kinsoku w:val="0"/>
        <w:overflowPunct w:val="0"/>
        <w:spacing w:before="3"/>
        <w:jc w:val="center"/>
        <w:rPr>
          <w:sz w:val="15"/>
          <w:szCs w:val="15"/>
        </w:rPr>
      </w:pPr>
      <w:r>
        <w:rPr>
          <w:noProof/>
        </w:rPr>
        <w:drawing>
          <wp:inline distT="0" distB="0" distL="0" distR="0" wp14:anchorId="2DCBC7C6" wp14:editId="7DBBC11B">
            <wp:extent cx="5064570" cy="409831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7924" cy="4101024"/>
                    </a:xfrm>
                    <a:prstGeom prst="rect">
                      <a:avLst/>
                    </a:prstGeom>
                    <a:noFill/>
                    <a:ln>
                      <a:noFill/>
                    </a:ln>
                  </pic:spPr>
                </pic:pic>
              </a:graphicData>
            </a:graphic>
          </wp:inline>
        </w:drawing>
      </w:r>
    </w:p>
    <w:p w:rsidR="00AD71F6" w:rsidRDefault="00AD71F6" w:rsidP="00AD71F6">
      <w:pPr>
        <w:pStyle w:val="BodyText"/>
        <w:kinsoku w:val="0"/>
        <w:overflowPunct w:val="0"/>
        <w:ind w:left="120"/>
      </w:pPr>
    </w:p>
    <w:p w:rsidR="00AD71F6" w:rsidRDefault="00AD71F6" w:rsidP="00AD71F6">
      <w:pPr>
        <w:pStyle w:val="BodyText"/>
        <w:kinsoku w:val="0"/>
        <w:overflowPunct w:val="0"/>
        <w:spacing w:before="183"/>
        <w:jc w:val="center"/>
        <w:rPr>
          <w:sz w:val="16"/>
          <w:szCs w:val="16"/>
        </w:rPr>
      </w:pPr>
      <w:r>
        <w:rPr>
          <w:sz w:val="16"/>
          <w:szCs w:val="16"/>
        </w:rPr>
        <w:t>2</w:t>
      </w:r>
    </w:p>
    <w:p w:rsidR="00AD71F6" w:rsidRDefault="00AD71F6" w:rsidP="00AD71F6">
      <w:pPr>
        <w:pStyle w:val="BodyText"/>
        <w:kinsoku w:val="0"/>
        <w:overflowPunct w:val="0"/>
        <w:spacing w:before="5"/>
        <w:rPr>
          <w:rFonts w:ascii="Times New Roman" w:hAnsi="Times New Roman" w:cs="Times New Roman"/>
          <w:sz w:val="17"/>
          <w:szCs w:val="17"/>
        </w:rPr>
      </w:pPr>
    </w:p>
    <w:p w:rsidR="00AD71F6" w:rsidRPr="00AD71F6" w:rsidRDefault="00AD71F6" w:rsidP="00AD71F6">
      <w:pPr>
        <w:pStyle w:val="BodyText"/>
        <w:kinsoku w:val="0"/>
        <w:overflowPunct w:val="0"/>
        <w:spacing w:line="276" w:lineRule="auto"/>
        <w:ind w:left="119" w:right="116"/>
        <w:rPr>
          <w:b w:val="0"/>
          <w:sz w:val="24"/>
        </w:rPr>
      </w:pPr>
      <w:r w:rsidRPr="00AD71F6">
        <w:rPr>
          <w:b w:val="0"/>
          <w:sz w:val="24"/>
        </w:rPr>
        <w:t>To accompany the new forecast summary graphic, here are some helpful reminders about interpreting streamflow forecasts published in this document. For each forecast point, 5 possible streamflow volumes are predicted. Where the observed streamflow occurs within this spectrum depends on the range of future weather conditions. If water users wish to plan conservatively, they may lean toward using the 70% chance of exceedance forecast, or the drier forecast (which may be below average depending on the region). Conversely, if a water user believes future conditions will provide more water to the system, they could choose to use the 30% chance of exceedance forecast (the wetter forecast). These arrays of forecasts are shown in the chart on the previous page and explained in more detail on page 35.</w:t>
      </w:r>
    </w:p>
    <w:p w:rsidR="00AD71F6" w:rsidRPr="00AD71F6" w:rsidRDefault="00AD71F6" w:rsidP="00AD71F6">
      <w:pPr>
        <w:pStyle w:val="BodyText"/>
        <w:kinsoku w:val="0"/>
        <w:overflowPunct w:val="0"/>
        <w:spacing w:before="4"/>
        <w:rPr>
          <w:b w:val="0"/>
          <w:sz w:val="29"/>
          <w:szCs w:val="25"/>
        </w:rPr>
      </w:pPr>
    </w:p>
    <w:p w:rsidR="00AD71F6" w:rsidRPr="00AD71F6" w:rsidRDefault="00AD71F6" w:rsidP="00AD71F6">
      <w:pPr>
        <w:pStyle w:val="BodyText"/>
        <w:kinsoku w:val="0"/>
        <w:overflowPunct w:val="0"/>
        <w:spacing w:line="276" w:lineRule="auto"/>
        <w:ind w:left="119" w:right="208"/>
        <w:rPr>
          <w:b w:val="0"/>
          <w:sz w:val="24"/>
        </w:rPr>
      </w:pPr>
      <w:r w:rsidRPr="00AD71F6">
        <w:rPr>
          <w:b w:val="0"/>
          <w:sz w:val="24"/>
        </w:rPr>
        <w:t>Some of these forecasts assume that normal weather conditions will occur from now to the end of the forecast period. All forecasts are listed with units of 1000 acre-feet (KAF). This report contains data furnished by the Oregon Department of Water Resources, U.S. Geological Survey, NOAA National Weather Service and other cooperators. This report will be updated monthly, January through June.</w:t>
      </w:r>
    </w:p>
    <w:p w:rsidR="00AD71F6" w:rsidRPr="00AD71F6" w:rsidRDefault="00AD71F6" w:rsidP="00AD71F6">
      <w:pPr>
        <w:pStyle w:val="BodyText"/>
        <w:kinsoku w:val="0"/>
        <w:overflowPunct w:val="0"/>
        <w:spacing w:before="4"/>
        <w:rPr>
          <w:b w:val="0"/>
          <w:sz w:val="29"/>
          <w:szCs w:val="25"/>
        </w:rPr>
      </w:pPr>
    </w:p>
    <w:p w:rsidR="00AD71F6" w:rsidRPr="00AD71F6" w:rsidRDefault="00AD71F6" w:rsidP="00AD71F6">
      <w:pPr>
        <w:pStyle w:val="BodyText"/>
        <w:kinsoku w:val="0"/>
        <w:overflowPunct w:val="0"/>
        <w:spacing w:line="276" w:lineRule="auto"/>
        <w:ind w:left="119" w:right="134"/>
        <w:rPr>
          <w:b w:val="0"/>
          <w:sz w:val="24"/>
        </w:rPr>
      </w:pPr>
      <w:r w:rsidRPr="00AD71F6">
        <w:rPr>
          <w:b w:val="0"/>
          <w:sz w:val="24"/>
        </w:rPr>
        <w:t>Note: A select set of streamflow forecasts have been discontinued in the Rogue, Grande Ronde and Willamette basins. Please see each basin section for more information.</w:t>
      </w:r>
    </w:p>
    <w:p w:rsidR="00AD71F6" w:rsidRPr="00AD71F6" w:rsidRDefault="00AD71F6">
      <w:pPr>
        <w:rPr>
          <w:rFonts w:ascii="Helvetica" w:eastAsia="Times New Roman" w:hAnsi="Helvetica" w:cs="Helvetica"/>
          <w:color w:val="4D4D4D"/>
          <w:kern w:val="36"/>
          <w:sz w:val="58"/>
          <w:szCs w:val="54"/>
        </w:rPr>
      </w:pPr>
      <w:r w:rsidRPr="00AD71F6">
        <w:rPr>
          <w:rFonts w:ascii="Helvetica" w:eastAsia="Times New Roman" w:hAnsi="Helvetica" w:cs="Helvetica"/>
          <w:color w:val="4D4D4D"/>
          <w:kern w:val="36"/>
          <w:sz w:val="58"/>
          <w:szCs w:val="54"/>
        </w:rPr>
        <w:br w:type="page"/>
      </w:r>
    </w:p>
    <w:p w:rsidR="00AD71F6" w:rsidRDefault="00AD71F6" w:rsidP="00AD71F6">
      <w:pPr>
        <w:pStyle w:val="BodyText"/>
        <w:kinsoku w:val="0"/>
        <w:overflowPunct w:val="0"/>
        <w:spacing w:line="551" w:lineRule="exact"/>
        <w:ind w:left="2227" w:right="607"/>
        <w:rPr>
          <w:b w:val="0"/>
          <w:bCs w:val="0"/>
          <w:sz w:val="48"/>
          <w:szCs w:val="48"/>
        </w:rPr>
      </w:pPr>
      <w:bookmarkStart w:id="2" w:name="80_WSOR_2017_Jan"/>
      <w:bookmarkEnd w:id="2"/>
      <w:r w:rsidRPr="00AD71F6">
        <w:rPr>
          <w:b w:val="0"/>
          <w:bCs w:val="0"/>
          <w:noProof/>
          <w:sz w:val="48"/>
          <w:szCs w:val="48"/>
        </w:rPr>
        <w:drawing>
          <wp:anchor distT="0" distB="0" distL="114300" distR="114300" simplePos="0" relativeHeight="251659264" behindDoc="0" locked="0" layoutInCell="1" allowOverlap="1">
            <wp:simplePos x="0" y="0"/>
            <wp:positionH relativeFrom="column">
              <wp:posOffset>200092</wp:posOffset>
            </wp:positionH>
            <wp:positionV relativeFrom="paragraph">
              <wp:posOffset>-156444</wp:posOffset>
            </wp:positionV>
            <wp:extent cx="1090930" cy="854250"/>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930" cy="85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bCs w:val="0"/>
          <w:sz w:val="48"/>
          <w:szCs w:val="48"/>
        </w:rPr>
        <w:t>Rogue and Umpqua Basins</w:t>
      </w:r>
    </w:p>
    <w:p w:rsidR="00AD71F6" w:rsidRPr="00AD71F6" w:rsidRDefault="00AD71F6" w:rsidP="00AD71F6">
      <w:pPr>
        <w:pStyle w:val="BodyText"/>
        <w:kinsoku w:val="0"/>
        <w:overflowPunct w:val="0"/>
        <w:spacing w:line="551" w:lineRule="exact"/>
        <w:ind w:left="2227" w:right="607"/>
        <w:rPr>
          <w:b w:val="0"/>
          <w:bCs w:val="0"/>
          <w:sz w:val="30"/>
          <w:szCs w:val="48"/>
        </w:rPr>
      </w:pPr>
      <w:r w:rsidRPr="00AD71F6">
        <w:rPr>
          <w:noProof/>
        </w:rPr>
        <w:drawing>
          <wp:anchor distT="0" distB="0" distL="114300" distR="114300" simplePos="0" relativeHeight="251658240" behindDoc="0" locked="0" layoutInCell="1" allowOverlap="1">
            <wp:simplePos x="0" y="0"/>
            <wp:positionH relativeFrom="column">
              <wp:posOffset>3744595</wp:posOffset>
            </wp:positionH>
            <wp:positionV relativeFrom="paragraph">
              <wp:posOffset>341630</wp:posOffset>
            </wp:positionV>
            <wp:extent cx="3462655" cy="3371215"/>
            <wp:effectExtent l="0" t="0" r="4445" b="6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3371215"/>
                    </a:xfrm>
                    <a:prstGeom prst="rect">
                      <a:avLst/>
                    </a:prstGeom>
                    <a:noFill/>
                    <a:ln>
                      <a:noFill/>
                    </a:ln>
                  </pic:spPr>
                </pic:pic>
              </a:graphicData>
            </a:graphic>
          </wp:anchor>
        </w:drawing>
      </w:r>
      <w:r w:rsidRPr="00AD71F6">
        <w:rPr>
          <w:b w:val="0"/>
          <w:bCs w:val="0"/>
          <w:sz w:val="30"/>
          <w:szCs w:val="48"/>
        </w:rPr>
        <w:t>January 1, 2017</w:t>
      </w:r>
    </w:p>
    <w:p w:rsidR="00AD71F6" w:rsidRDefault="00AD71F6" w:rsidP="00AD71F6">
      <w:pPr>
        <w:pStyle w:val="BodyText"/>
        <w:tabs>
          <w:tab w:val="left" w:pos="6869"/>
        </w:tabs>
        <w:kinsoku w:val="0"/>
        <w:overflowPunct w:val="0"/>
        <w:ind w:left="110"/>
      </w:pPr>
    </w:p>
    <w:p w:rsidR="00AD71F6" w:rsidRDefault="00AD71F6" w:rsidP="00AD71F6">
      <w:pPr>
        <w:pStyle w:val="BodyText"/>
        <w:tabs>
          <w:tab w:val="left" w:pos="6869"/>
        </w:tabs>
        <w:kinsoku w:val="0"/>
        <w:overflowPunct w:val="0"/>
        <w:ind w:left="110"/>
        <w:rPr>
          <w:position w:val="68"/>
        </w:rPr>
      </w:pPr>
      <w:r>
        <w:rPr>
          <w:noProof/>
        </w:rPr>
        <w:drawing>
          <wp:inline distT="0" distB="0" distL="0" distR="0">
            <wp:extent cx="3506384" cy="32254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446" cy="3230114"/>
                    </a:xfrm>
                    <a:prstGeom prst="rect">
                      <a:avLst/>
                    </a:prstGeom>
                    <a:noFill/>
                    <a:ln>
                      <a:noFill/>
                    </a:ln>
                  </pic:spPr>
                </pic:pic>
              </a:graphicData>
            </a:graphic>
          </wp:inline>
        </w:drawing>
      </w:r>
      <w:r>
        <w:t xml:space="preserve"> </w:t>
      </w:r>
      <w:r>
        <w:tab/>
      </w:r>
    </w:p>
    <w:p w:rsidR="00AD71F6" w:rsidRPr="00AD71F6" w:rsidRDefault="00AD71F6" w:rsidP="00AD71F6">
      <w:pPr>
        <w:pStyle w:val="Heading1"/>
        <w:kinsoku w:val="0"/>
        <w:overflowPunct w:val="0"/>
        <w:spacing w:before="32"/>
        <w:rPr>
          <w:sz w:val="40"/>
          <w:szCs w:val="38"/>
          <w:shd w:val="clear" w:color="auto" w:fill="BCD6ED"/>
        </w:rPr>
      </w:pPr>
      <w:r w:rsidRPr="00AD71F6">
        <w:rPr>
          <w:rFonts w:ascii="Arial" w:hAnsi="Arial" w:cs="Arial"/>
          <w:bCs w:val="0"/>
          <w:sz w:val="26"/>
          <w:szCs w:val="24"/>
        </w:rPr>
        <w:t>Summary of Water Supply Conditions</w:t>
      </w:r>
    </w:p>
    <w:p w:rsidR="00AD71F6" w:rsidRPr="00AD71F6" w:rsidRDefault="00AD71F6" w:rsidP="00AD71F6">
      <w:pPr>
        <w:pStyle w:val="Heading1"/>
        <w:kinsoku w:val="0"/>
        <w:overflowPunct w:val="0"/>
        <w:spacing w:before="32"/>
        <w:rPr>
          <w:sz w:val="38"/>
          <w:szCs w:val="38"/>
        </w:rPr>
      </w:pPr>
      <w:r w:rsidRPr="00AD71F6">
        <w:rPr>
          <w:sz w:val="38"/>
          <w:szCs w:val="38"/>
          <w:shd w:val="clear" w:color="auto" w:fill="BCD6ED"/>
        </w:rPr>
        <w:t xml:space="preserve"> SNOWPACK                                                                                                                                            </w:t>
      </w:r>
    </w:p>
    <w:p w:rsidR="00AD71F6" w:rsidRDefault="00AD71F6" w:rsidP="00AD71F6">
      <w:pPr>
        <w:pStyle w:val="BodyText"/>
        <w:kinsoku w:val="0"/>
        <w:overflowPunct w:val="0"/>
        <w:spacing w:before="124" w:line="259" w:lineRule="auto"/>
        <w:ind w:left="348" w:right="607"/>
      </w:pPr>
      <w:r>
        <w:t>As of January 1, the basin snowpack was 110% of normal. This is lower than last year when the basin snowpack was 169% of normal on January 1, 2016.</w:t>
      </w:r>
    </w:p>
    <w:p w:rsidR="00AD71F6" w:rsidRPr="00AD71F6" w:rsidRDefault="00AD71F6" w:rsidP="00AD71F6">
      <w:pPr>
        <w:pStyle w:val="Heading1"/>
        <w:kinsoku w:val="0"/>
        <w:overflowPunct w:val="0"/>
        <w:spacing w:before="178"/>
        <w:rPr>
          <w:sz w:val="38"/>
          <w:szCs w:val="38"/>
        </w:rPr>
      </w:pPr>
      <w:r w:rsidRPr="00AD71F6">
        <w:rPr>
          <w:sz w:val="38"/>
          <w:szCs w:val="38"/>
          <w:shd w:val="clear" w:color="auto" w:fill="BCD6ED"/>
        </w:rPr>
        <w:t xml:space="preserve"> PRECIPITATION                                                                                                                                     </w:t>
      </w:r>
    </w:p>
    <w:p w:rsidR="00AD71F6" w:rsidRDefault="00AD71F6" w:rsidP="00AD71F6">
      <w:pPr>
        <w:pStyle w:val="BodyText"/>
        <w:kinsoku w:val="0"/>
        <w:overflowPunct w:val="0"/>
        <w:spacing w:before="124" w:line="259" w:lineRule="auto"/>
        <w:ind w:left="348" w:right="607"/>
      </w:pPr>
      <w:r>
        <w:t>October brought more than three times the normal amount of precipitation to the basin and record rainfall was measured at 8 out of 11 long-term SNOTEL sites in the basin. December precipitation was 96% of average. Precipitation since the beginning of the water year (October 1 - January 1) has been 136% of average.</w:t>
      </w:r>
    </w:p>
    <w:p w:rsidR="00AD71F6" w:rsidRPr="00AD71F6" w:rsidRDefault="00AD71F6" w:rsidP="00AD71F6">
      <w:pPr>
        <w:pStyle w:val="Heading1"/>
        <w:kinsoku w:val="0"/>
        <w:overflowPunct w:val="0"/>
        <w:spacing w:before="33"/>
        <w:rPr>
          <w:sz w:val="38"/>
          <w:szCs w:val="38"/>
        </w:rPr>
      </w:pPr>
      <w:r w:rsidRPr="00AD71F6">
        <w:rPr>
          <w:sz w:val="38"/>
          <w:szCs w:val="38"/>
          <w:shd w:val="clear" w:color="auto" w:fill="BCD6ED"/>
        </w:rPr>
        <w:t xml:space="preserve"> RESERVOIR                                                                                                                                            </w:t>
      </w:r>
    </w:p>
    <w:p w:rsidR="00AD71F6" w:rsidRDefault="00AD71F6" w:rsidP="00AD71F6">
      <w:pPr>
        <w:pStyle w:val="BodyText"/>
        <w:kinsoku w:val="0"/>
        <w:overflowPunct w:val="0"/>
        <w:spacing w:before="124" w:line="259" w:lineRule="auto"/>
        <w:ind w:left="348" w:right="607"/>
      </w:pPr>
      <w:r>
        <w:t>As of January 1, storage at major reservoirs in the basin ranges from 41% of average at Fourmile Lake to 94% of average at Emigrant Lake.</w:t>
      </w:r>
    </w:p>
    <w:p w:rsidR="00AD71F6" w:rsidRDefault="00AD71F6" w:rsidP="00AD71F6">
      <w:pPr>
        <w:pStyle w:val="BodyText"/>
        <w:kinsoku w:val="0"/>
        <w:overflowPunct w:val="0"/>
      </w:pPr>
    </w:p>
    <w:p w:rsidR="00AD71F6" w:rsidRPr="00AD71F6" w:rsidRDefault="00AD71F6" w:rsidP="00AD71F6">
      <w:pPr>
        <w:pStyle w:val="Heading1"/>
        <w:kinsoku w:val="0"/>
        <w:overflowPunct w:val="0"/>
        <w:rPr>
          <w:sz w:val="38"/>
          <w:szCs w:val="38"/>
        </w:rPr>
      </w:pPr>
      <w:r w:rsidRPr="00AD71F6">
        <w:rPr>
          <w:sz w:val="38"/>
          <w:szCs w:val="38"/>
          <w:shd w:val="clear" w:color="auto" w:fill="BCD6ED"/>
        </w:rPr>
        <w:t xml:space="preserve"> STREAMFLOW FORECAST                                                                                                                   </w:t>
      </w:r>
    </w:p>
    <w:p w:rsidR="00AD71F6" w:rsidRDefault="00AD71F6" w:rsidP="00AD71F6">
      <w:pPr>
        <w:pStyle w:val="BodyText"/>
        <w:kinsoku w:val="0"/>
        <w:overflowPunct w:val="0"/>
        <w:spacing w:before="124" w:line="259" w:lineRule="auto"/>
        <w:ind w:left="348" w:right="730"/>
      </w:pPr>
      <w:r>
        <w:t>The April through September streamflow forecasts in the basin range from 107% to 131% of average. If conditions remain similar, water supplies in the basin are likely to be near normal to above normal this summer. Note: As of 2017, the Hyatt Prairie inflow forecast has been discontinued due to streamflow data quality issues and associated low forecast skill.</w:t>
      </w:r>
    </w:p>
    <w:p w:rsidR="00AD71F6" w:rsidRDefault="00AD71F6" w:rsidP="00AD71F6">
      <w:pPr>
        <w:pStyle w:val="BodyText"/>
        <w:kinsoku w:val="0"/>
        <w:overflowPunct w:val="0"/>
        <w:spacing w:before="117"/>
        <w:ind w:left="1881"/>
        <w:rPr>
          <w:bCs w:val="0"/>
          <w:sz w:val="28"/>
          <w:szCs w:val="28"/>
        </w:rPr>
      </w:pPr>
      <w:bookmarkStart w:id="3" w:name="81_WSOR_2017_Jan"/>
      <w:bookmarkEnd w:id="3"/>
    </w:p>
    <w:p w:rsidR="00AD71F6" w:rsidRPr="00AD71F6" w:rsidRDefault="00AD71F6" w:rsidP="00AD71F6">
      <w:pPr>
        <w:pStyle w:val="BodyText"/>
        <w:kinsoku w:val="0"/>
        <w:overflowPunct w:val="0"/>
        <w:spacing w:before="117"/>
        <w:ind w:left="1881"/>
        <w:rPr>
          <w:bCs w:val="0"/>
          <w:sz w:val="28"/>
          <w:szCs w:val="28"/>
        </w:rPr>
      </w:pPr>
      <w:r w:rsidRPr="00AD71F6">
        <w:rPr>
          <w:bCs w:val="0"/>
          <w:sz w:val="28"/>
          <w:szCs w:val="28"/>
        </w:rPr>
        <w:t>Rogue And Umpqua Basins Summary for January 1, 2017</w:t>
      </w:r>
    </w:p>
    <w:p w:rsidR="00AD71F6" w:rsidRDefault="00AD71F6" w:rsidP="00AD71F6">
      <w:pPr>
        <w:pStyle w:val="BodyText"/>
        <w:kinsoku w:val="0"/>
        <w:overflowPunct w:val="0"/>
        <w:rPr>
          <w:b w:val="0"/>
          <w:bCs w:val="0"/>
        </w:rPr>
      </w:pPr>
    </w:p>
    <w:p w:rsidR="00AD71F6" w:rsidRDefault="00AD71F6" w:rsidP="00AD71F6">
      <w:pPr>
        <w:pStyle w:val="BodyText"/>
        <w:kinsoku w:val="0"/>
        <w:overflowPunct w:val="0"/>
        <w:spacing w:before="9"/>
        <w:rPr>
          <w:b w:val="0"/>
          <w:bCs w:val="0"/>
          <w:sz w:val="11"/>
          <w:szCs w:val="11"/>
        </w:rPr>
      </w:pPr>
    </w:p>
    <w:tbl>
      <w:tblPr>
        <w:tblW w:w="0" w:type="auto"/>
        <w:tblInd w:w="103" w:type="dxa"/>
        <w:tblLayout w:type="fixed"/>
        <w:tblCellMar>
          <w:left w:w="0" w:type="dxa"/>
          <w:right w:w="0" w:type="dxa"/>
        </w:tblCellMar>
        <w:tblLook w:val="0000" w:firstRow="0" w:lastRow="0" w:firstColumn="0" w:lastColumn="0" w:noHBand="0" w:noVBand="0"/>
      </w:tblPr>
      <w:tblGrid>
        <w:gridCol w:w="3217"/>
        <w:gridCol w:w="987"/>
        <w:gridCol w:w="1000"/>
        <w:gridCol w:w="903"/>
        <w:gridCol w:w="1029"/>
        <w:gridCol w:w="690"/>
        <w:gridCol w:w="857"/>
        <w:gridCol w:w="859"/>
        <w:gridCol w:w="859"/>
      </w:tblGrid>
      <w:tr w:rsidR="00AD71F6" w:rsidTr="00AD71F6">
        <w:tblPrEx>
          <w:tblCellMar>
            <w:top w:w="0" w:type="dxa"/>
            <w:left w:w="0" w:type="dxa"/>
            <w:bottom w:w="0" w:type="dxa"/>
            <w:right w:w="0" w:type="dxa"/>
          </w:tblCellMar>
        </w:tblPrEx>
        <w:trPr>
          <w:trHeight w:hRule="exact" w:val="494"/>
        </w:trPr>
        <w:tc>
          <w:tcPr>
            <w:tcW w:w="10401" w:type="dxa"/>
            <w:gridSpan w:val="9"/>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spacing w:before="108"/>
              <w:ind w:left="4054"/>
              <w:jc w:val="left"/>
              <w:rPr>
                <w:rFonts w:ascii="Times New Roman" w:hAnsi="Times New Roman" w:cs="Times New Roman"/>
              </w:rPr>
            </w:pPr>
            <w:r>
              <w:rPr>
                <w:b/>
                <w:bCs/>
              </w:rPr>
              <w:t>Forecast Exceedance Probabilities for Risk Assessment *</w:t>
            </w:r>
          </w:p>
        </w:tc>
      </w:tr>
      <w:tr w:rsidR="00AD71F6" w:rsidTr="00AD71F6">
        <w:tblPrEx>
          <w:tblCellMar>
            <w:top w:w="0" w:type="dxa"/>
            <w:left w:w="0" w:type="dxa"/>
            <w:bottom w:w="0" w:type="dxa"/>
            <w:right w:w="0" w:type="dxa"/>
          </w:tblCellMar>
        </w:tblPrEx>
        <w:trPr>
          <w:trHeight w:hRule="exact" w:val="303"/>
        </w:trPr>
        <w:tc>
          <w:tcPr>
            <w:tcW w:w="3217" w:type="dxa"/>
            <w:tcBorders>
              <w:top w:val="nil"/>
              <w:left w:val="single" w:sz="7" w:space="0" w:color="000000"/>
              <w:bottom w:val="nil"/>
              <w:right w:val="single" w:sz="7" w:space="0" w:color="000000"/>
            </w:tcBorders>
            <w:shd w:val="clear" w:color="auto" w:fill="D9D9D9"/>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5338" w:type="dxa"/>
            <w:gridSpan w:val="6"/>
            <w:tcBorders>
              <w:top w:val="nil"/>
              <w:left w:val="single" w:sz="7" w:space="0" w:color="000000"/>
              <w:bottom w:val="nil"/>
              <w:right w:val="single" w:sz="7" w:space="0" w:color="000000"/>
            </w:tcBorders>
          </w:tcPr>
          <w:p w:rsidR="00AD71F6" w:rsidRDefault="00AD71F6">
            <w:pPr>
              <w:pStyle w:val="TableParagraph"/>
              <w:kinsoku w:val="0"/>
              <w:overflowPunct w:val="0"/>
              <w:spacing w:before="45"/>
              <w:ind w:left="415"/>
              <w:jc w:val="left"/>
              <w:rPr>
                <w:rFonts w:ascii="Times New Roman" w:hAnsi="Times New Roman" w:cs="Times New Roman"/>
              </w:rPr>
            </w:pPr>
            <w:r>
              <w:rPr>
                <w:sz w:val="20"/>
                <w:szCs w:val="20"/>
              </w:rPr>
              <w:t>←-------Drier----------Future Conditions--------Wetter-------→</w:t>
            </w:r>
          </w:p>
        </w:tc>
        <w:tc>
          <w:tcPr>
            <w:tcW w:w="85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r>
      <w:tr w:rsidR="00AD71F6" w:rsidTr="00AD71F6">
        <w:tblPrEx>
          <w:tblCellMar>
            <w:top w:w="0" w:type="dxa"/>
            <w:left w:w="0" w:type="dxa"/>
            <w:bottom w:w="0" w:type="dxa"/>
            <w:right w:w="0" w:type="dxa"/>
          </w:tblCellMar>
        </w:tblPrEx>
        <w:trPr>
          <w:trHeight w:hRule="exact" w:val="314"/>
        </w:trPr>
        <w:tc>
          <w:tcPr>
            <w:tcW w:w="3217" w:type="dxa"/>
            <w:tcBorders>
              <w:top w:val="nil"/>
              <w:left w:val="single" w:sz="7" w:space="0" w:color="000000"/>
              <w:bottom w:val="nil"/>
              <w:right w:val="single" w:sz="7" w:space="0" w:color="000000"/>
            </w:tcBorders>
            <w:shd w:val="clear" w:color="auto" w:fill="D9D9D9"/>
          </w:tcPr>
          <w:p w:rsidR="00AD71F6" w:rsidRDefault="00AD71F6">
            <w:pPr>
              <w:pStyle w:val="TableParagraph"/>
              <w:kinsoku w:val="0"/>
              <w:overflowPunct w:val="0"/>
              <w:spacing w:before="76"/>
              <w:ind w:left="698"/>
              <w:jc w:val="left"/>
              <w:rPr>
                <w:rFonts w:ascii="Times New Roman" w:hAnsi="Times New Roman" w:cs="Times New Roman"/>
              </w:rPr>
            </w:pPr>
            <w:r>
              <w:rPr>
                <w:b/>
                <w:bCs/>
                <w:sz w:val="20"/>
                <w:szCs w:val="20"/>
              </w:rPr>
              <w:t>Streamflow Forecasts</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6"/>
              <w:ind w:left="73" w:right="56"/>
              <w:rPr>
                <w:rFonts w:ascii="Times New Roman" w:hAnsi="Times New Roman" w:cs="Times New Roman"/>
              </w:rPr>
            </w:pPr>
            <w:r>
              <w:rPr>
                <w:b/>
                <w:bCs/>
                <w:sz w:val="20"/>
                <w:szCs w:val="20"/>
              </w:rPr>
              <w:t>Forecast</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76"/>
              <w:ind w:left="263" w:right="206"/>
              <w:rPr>
                <w:rFonts w:ascii="Times New Roman" w:hAnsi="Times New Roman" w:cs="Times New Roman"/>
              </w:rPr>
            </w:pPr>
            <w:r>
              <w:rPr>
                <w:b/>
                <w:bCs/>
                <w:sz w:val="20"/>
                <w:szCs w:val="20"/>
              </w:rPr>
              <w:t>90%</w:t>
            </w:r>
          </w:p>
        </w:tc>
        <w:tc>
          <w:tcPr>
            <w:tcW w:w="903" w:type="dxa"/>
            <w:tcBorders>
              <w:top w:val="nil"/>
              <w:left w:val="nil"/>
              <w:bottom w:val="nil"/>
              <w:right w:val="nil"/>
            </w:tcBorders>
          </w:tcPr>
          <w:p w:rsidR="00AD71F6" w:rsidRDefault="00AD71F6">
            <w:pPr>
              <w:pStyle w:val="TableParagraph"/>
              <w:kinsoku w:val="0"/>
              <w:overflowPunct w:val="0"/>
              <w:spacing w:before="69"/>
              <w:ind w:left="221" w:right="164"/>
              <w:rPr>
                <w:rFonts w:ascii="Times New Roman" w:hAnsi="Times New Roman" w:cs="Times New Roman"/>
              </w:rPr>
            </w:pPr>
            <w:r>
              <w:rPr>
                <w:b/>
                <w:bCs/>
                <w:sz w:val="20"/>
                <w:szCs w:val="20"/>
              </w:rPr>
              <w:t>70%</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76"/>
              <w:ind w:left="731" w:right="-38"/>
              <w:jc w:val="left"/>
              <w:rPr>
                <w:rFonts w:ascii="Times New Roman" w:hAnsi="Times New Roman" w:cs="Times New Roman"/>
              </w:rPr>
            </w:pPr>
            <w:r>
              <w:rPr>
                <w:b/>
                <w:bCs/>
                <w:spacing w:val="-1"/>
                <w:sz w:val="20"/>
                <w:szCs w:val="20"/>
              </w:rPr>
              <w:t>50%</w:t>
            </w:r>
          </w:p>
        </w:tc>
        <w:tc>
          <w:tcPr>
            <w:tcW w:w="690" w:type="dxa"/>
            <w:tcBorders>
              <w:top w:val="nil"/>
              <w:left w:val="nil"/>
              <w:bottom w:val="nil"/>
              <w:right w:val="nil"/>
            </w:tcBorders>
            <w:shd w:val="clear" w:color="auto" w:fill="D9D9D9"/>
          </w:tcPr>
          <w:p w:rsidR="00AD71F6" w:rsidRDefault="00AD71F6">
            <w:pPr>
              <w:rPr>
                <w:rFonts w:ascii="Times New Roman" w:hAnsi="Times New Roman" w:cs="Times New Roman"/>
              </w:rPr>
            </w:pPr>
          </w:p>
        </w:tc>
        <w:tc>
          <w:tcPr>
            <w:tcW w:w="857" w:type="dxa"/>
            <w:tcBorders>
              <w:top w:val="nil"/>
              <w:left w:val="nil"/>
              <w:bottom w:val="nil"/>
              <w:right w:val="nil"/>
            </w:tcBorders>
          </w:tcPr>
          <w:p w:rsidR="00AD71F6" w:rsidRDefault="00AD71F6">
            <w:pPr>
              <w:pStyle w:val="TableParagraph"/>
              <w:kinsoku w:val="0"/>
              <w:overflowPunct w:val="0"/>
              <w:spacing w:before="69"/>
              <w:ind w:left="170" w:right="166"/>
              <w:rPr>
                <w:rFonts w:ascii="Times New Roman" w:hAnsi="Times New Roman" w:cs="Times New Roman"/>
              </w:rPr>
            </w:pPr>
            <w:r>
              <w:rPr>
                <w:b/>
                <w:bCs/>
                <w:sz w:val="20"/>
                <w:szCs w:val="20"/>
              </w:rPr>
              <w:t>30%</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69"/>
              <w:ind w:right="248"/>
              <w:jc w:val="right"/>
              <w:rPr>
                <w:rFonts w:ascii="Times New Roman" w:hAnsi="Times New Roman" w:cs="Times New Roman"/>
              </w:rPr>
            </w:pPr>
            <w:r>
              <w:rPr>
                <w:b/>
                <w:bCs/>
                <w:w w:val="95"/>
                <w:sz w:val="20"/>
                <w:szCs w:val="20"/>
              </w:rPr>
              <w:t>10%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69"/>
              <w:ind w:left="42" w:right="35"/>
              <w:rPr>
                <w:rFonts w:ascii="Times New Roman" w:hAnsi="Times New Roman" w:cs="Times New Roman"/>
              </w:rPr>
            </w:pPr>
            <w:r>
              <w:rPr>
                <w:b/>
                <w:bCs/>
                <w:sz w:val="20"/>
                <w:szCs w:val="20"/>
              </w:rPr>
              <w:t>Average</w:t>
            </w:r>
          </w:p>
        </w:tc>
      </w:tr>
      <w:tr w:rsidR="00AD71F6" w:rsidTr="00AD71F6">
        <w:tblPrEx>
          <w:tblCellMar>
            <w:top w:w="0" w:type="dxa"/>
            <w:left w:w="0" w:type="dxa"/>
            <w:bottom w:w="0" w:type="dxa"/>
            <w:right w:w="0" w:type="dxa"/>
          </w:tblCellMar>
        </w:tblPrEx>
        <w:trPr>
          <w:trHeight w:hRule="exact" w:val="248"/>
        </w:trPr>
        <w:tc>
          <w:tcPr>
            <w:tcW w:w="3217" w:type="dxa"/>
            <w:tcBorders>
              <w:top w:val="nil"/>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10"/>
              <w:ind w:left="991"/>
              <w:jc w:val="left"/>
              <w:rPr>
                <w:rFonts w:ascii="Times New Roman" w:hAnsi="Times New Roman" w:cs="Times New Roman"/>
              </w:rPr>
            </w:pPr>
            <w:r>
              <w:rPr>
                <w:b/>
                <w:bCs/>
                <w:sz w:val="20"/>
                <w:szCs w:val="20"/>
              </w:rPr>
              <w:t>January 1, 2017</w:t>
            </w:r>
          </w:p>
        </w:tc>
        <w:tc>
          <w:tcPr>
            <w:tcW w:w="987"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spacing w:before="10"/>
              <w:ind w:left="73" w:right="12"/>
              <w:rPr>
                <w:rFonts w:ascii="Times New Roman" w:hAnsi="Times New Roman" w:cs="Times New Roman"/>
              </w:rPr>
            </w:pPr>
            <w:r>
              <w:rPr>
                <w:b/>
                <w:bCs/>
                <w:sz w:val="20"/>
                <w:szCs w:val="20"/>
              </w:rPr>
              <w:t>Period</w:t>
            </w:r>
          </w:p>
        </w:tc>
        <w:tc>
          <w:tcPr>
            <w:tcW w:w="1000" w:type="dxa"/>
            <w:tcBorders>
              <w:top w:val="nil"/>
              <w:left w:val="single" w:sz="7" w:space="0" w:color="000000"/>
              <w:bottom w:val="single" w:sz="7" w:space="0" w:color="000000"/>
              <w:right w:val="nil"/>
            </w:tcBorders>
          </w:tcPr>
          <w:p w:rsidR="00AD71F6" w:rsidRDefault="00AD71F6">
            <w:pPr>
              <w:pStyle w:val="TableParagraph"/>
              <w:kinsoku w:val="0"/>
              <w:overflowPunct w:val="0"/>
              <w:spacing w:before="10"/>
              <w:ind w:left="263" w:right="221"/>
              <w:rPr>
                <w:rFonts w:ascii="Times New Roman" w:hAnsi="Times New Roman" w:cs="Times New Roman"/>
              </w:rPr>
            </w:pPr>
            <w:r>
              <w:rPr>
                <w:b/>
                <w:bCs/>
                <w:sz w:val="20"/>
                <w:szCs w:val="20"/>
              </w:rPr>
              <w:t>(KAF)</w:t>
            </w:r>
          </w:p>
        </w:tc>
        <w:tc>
          <w:tcPr>
            <w:tcW w:w="903" w:type="dxa"/>
            <w:tcBorders>
              <w:top w:val="nil"/>
              <w:left w:val="nil"/>
              <w:bottom w:val="single" w:sz="7" w:space="0" w:color="000000"/>
              <w:right w:val="nil"/>
            </w:tcBorders>
          </w:tcPr>
          <w:p w:rsidR="00AD71F6" w:rsidRDefault="00AD71F6">
            <w:pPr>
              <w:pStyle w:val="TableParagraph"/>
              <w:kinsoku w:val="0"/>
              <w:overflowPunct w:val="0"/>
              <w:spacing w:before="10"/>
              <w:ind w:left="221" w:right="170"/>
              <w:rPr>
                <w:rFonts w:ascii="Times New Roman" w:hAnsi="Times New Roman" w:cs="Times New Roman"/>
              </w:rPr>
            </w:pPr>
            <w:r>
              <w:rPr>
                <w:b/>
                <w:bCs/>
                <w:sz w:val="20"/>
                <w:szCs w:val="20"/>
              </w:rPr>
              <w:t>(KAF)</w:t>
            </w:r>
          </w:p>
        </w:tc>
        <w:tc>
          <w:tcPr>
            <w:tcW w:w="1029" w:type="dxa"/>
            <w:tcBorders>
              <w:top w:val="nil"/>
              <w:left w:val="nil"/>
              <w:bottom w:val="single" w:sz="7" w:space="0" w:color="000000"/>
              <w:right w:val="nil"/>
            </w:tcBorders>
            <w:shd w:val="clear" w:color="auto" w:fill="D9D9D9"/>
          </w:tcPr>
          <w:p w:rsidR="00AD71F6" w:rsidRDefault="00AD71F6">
            <w:pPr>
              <w:pStyle w:val="TableParagraph"/>
              <w:kinsoku w:val="0"/>
              <w:overflowPunct w:val="0"/>
              <w:spacing w:before="10"/>
              <w:ind w:left="196" w:right="-38"/>
              <w:jc w:val="left"/>
              <w:rPr>
                <w:rFonts w:ascii="Times New Roman" w:hAnsi="Times New Roman" w:cs="Times New Roman"/>
              </w:rPr>
            </w:pPr>
            <w:r>
              <w:rPr>
                <w:b/>
                <w:bCs/>
                <w:sz w:val="20"/>
                <w:szCs w:val="20"/>
              </w:rPr>
              <w:t>(KAF)</w:t>
            </w:r>
          </w:p>
        </w:tc>
        <w:tc>
          <w:tcPr>
            <w:tcW w:w="690" w:type="dxa"/>
            <w:tcBorders>
              <w:top w:val="nil"/>
              <w:left w:val="nil"/>
              <w:bottom w:val="single" w:sz="7" w:space="0" w:color="000000"/>
              <w:right w:val="nil"/>
            </w:tcBorders>
            <w:shd w:val="clear" w:color="auto" w:fill="D9D9D9"/>
          </w:tcPr>
          <w:p w:rsidR="00AD71F6" w:rsidRDefault="00AD71F6">
            <w:pPr>
              <w:pStyle w:val="TableParagraph"/>
              <w:kinsoku w:val="0"/>
              <w:overflowPunct w:val="0"/>
              <w:spacing w:before="10"/>
              <w:ind w:left="-19"/>
              <w:jc w:val="left"/>
              <w:rPr>
                <w:rFonts w:ascii="Times New Roman" w:hAnsi="Times New Roman" w:cs="Times New Roman"/>
              </w:rPr>
            </w:pPr>
            <w:r>
              <w:rPr>
                <w:b/>
                <w:bCs/>
                <w:sz w:val="20"/>
                <w:szCs w:val="20"/>
              </w:rPr>
              <w:t>% Avg</w:t>
            </w:r>
          </w:p>
        </w:tc>
        <w:tc>
          <w:tcPr>
            <w:tcW w:w="857" w:type="dxa"/>
            <w:tcBorders>
              <w:top w:val="nil"/>
              <w:left w:val="nil"/>
              <w:bottom w:val="single" w:sz="7" w:space="0" w:color="000000"/>
              <w:right w:val="nil"/>
            </w:tcBorders>
          </w:tcPr>
          <w:p w:rsidR="00AD71F6" w:rsidRDefault="00AD71F6">
            <w:pPr>
              <w:pStyle w:val="TableParagraph"/>
              <w:kinsoku w:val="0"/>
              <w:overflowPunct w:val="0"/>
              <w:spacing w:before="10"/>
              <w:ind w:left="170" w:right="170"/>
              <w:rPr>
                <w:rFonts w:ascii="Times New Roman" w:hAnsi="Times New Roman" w:cs="Times New Roman"/>
              </w:rPr>
            </w:pPr>
            <w:r>
              <w:rPr>
                <w:b/>
                <w:bCs/>
                <w:sz w:val="20"/>
                <w:szCs w:val="20"/>
              </w:rPr>
              <w:t>(KAF)</w:t>
            </w:r>
          </w:p>
        </w:tc>
        <w:tc>
          <w:tcPr>
            <w:tcW w:w="856" w:type="dxa"/>
            <w:tcBorders>
              <w:top w:val="nil"/>
              <w:left w:val="nil"/>
              <w:bottom w:val="single" w:sz="7" w:space="0" w:color="000000"/>
              <w:right w:val="single" w:sz="7" w:space="0" w:color="000000"/>
            </w:tcBorders>
          </w:tcPr>
          <w:p w:rsidR="00AD71F6" w:rsidRDefault="00AD71F6">
            <w:pPr>
              <w:pStyle w:val="TableParagraph"/>
              <w:kinsoku w:val="0"/>
              <w:overflowPunct w:val="0"/>
              <w:spacing w:before="10"/>
              <w:ind w:right="182"/>
              <w:jc w:val="right"/>
              <w:rPr>
                <w:rFonts w:ascii="Times New Roman" w:hAnsi="Times New Roman" w:cs="Times New Roman"/>
              </w:rPr>
            </w:pPr>
            <w:r>
              <w:rPr>
                <w:b/>
                <w:bCs/>
                <w:sz w:val="20"/>
                <w:szCs w:val="20"/>
              </w:rPr>
              <w:t>(KAF)</w:t>
            </w:r>
          </w:p>
        </w:tc>
        <w:tc>
          <w:tcPr>
            <w:tcW w:w="857"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spacing w:before="10"/>
              <w:ind w:left="38" w:right="35"/>
              <w:rPr>
                <w:rFonts w:ascii="Times New Roman" w:hAnsi="Times New Roman" w:cs="Times New Roman"/>
              </w:rPr>
            </w:pPr>
            <w:r>
              <w:rPr>
                <w:b/>
                <w:bCs/>
                <w:sz w:val="20"/>
                <w:szCs w:val="20"/>
              </w:rPr>
              <w:t>(KAF)</w:t>
            </w:r>
          </w:p>
        </w:tc>
      </w:tr>
      <w:tr w:rsidR="00AD71F6" w:rsidTr="00AD71F6">
        <w:tblPrEx>
          <w:tblCellMar>
            <w:top w:w="0" w:type="dxa"/>
            <w:left w:w="0" w:type="dxa"/>
            <w:bottom w:w="0" w:type="dxa"/>
            <w:right w:w="0" w:type="dxa"/>
          </w:tblCellMar>
        </w:tblPrEx>
        <w:trPr>
          <w:trHeight w:hRule="exact" w:val="424"/>
        </w:trPr>
        <w:tc>
          <w:tcPr>
            <w:tcW w:w="3217"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spacing w:before="1"/>
              <w:jc w:val="left"/>
              <w:rPr>
                <w:b/>
                <w:bCs/>
                <w:sz w:val="17"/>
                <w:szCs w:val="17"/>
              </w:rPr>
            </w:pPr>
          </w:p>
          <w:p w:rsidR="00AD71F6" w:rsidRDefault="00AD71F6">
            <w:pPr>
              <w:pStyle w:val="TableParagraph"/>
              <w:kinsoku w:val="0"/>
              <w:overflowPunct w:val="0"/>
              <w:spacing w:before="0"/>
              <w:ind w:right="25"/>
              <w:jc w:val="right"/>
              <w:rPr>
                <w:rFonts w:ascii="Times New Roman" w:hAnsi="Times New Roman" w:cs="Times New Roman"/>
              </w:rPr>
            </w:pPr>
            <w:r>
              <w:rPr>
                <w:sz w:val="19"/>
                <w:szCs w:val="19"/>
              </w:rPr>
              <w:t>South Umpqua R at Tiller</w:t>
            </w:r>
          </w:p>
        </w:tc>
        <w:tc>
          <w:tcPr>
            <w:tcW w:w="987"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73" w:right="55"/>
              <w:rPr>
                <w:rFonts w:ascii="Times New Roman" w:hAnsi="Times New Roman" w:cs="Times New Roman"/>
              </w:rPr>
            </w:pPr>
            <w:r>
              <w:rPr>
                <w:sz w:val="20"/>
                <w:szCs w:val="20"/>
              </w:rPr>
              <w:t>APR-JUL</w:t>
            </w:r>
          </w:p>
        </w:tc>
        <w:tc>
          <w:tcPr>
            <w:tcW w:w="1000" w:type="dxa"/>
            <w:tcBorders>
              <w:top w:val="single" w:sz="7" w:space="0" w:color="000000"/>
              <w:left w:val="single" w:sz="7" w:space="0" w:color="000000"/>
              <w:bottom w:val="nil"/>
              <w:right w:val="nil"/>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263" w:right="205"/>
              <w:rPr>
                <w:rFonts w:ascii="Times New Roman" w:hAnsi="Times New Roman" w:cs="Times New Roman"/>
              </w:rPr>
            </w:pPr>
            <w:r>
              <w:rPr>
                <w:sz w:val="20"/>
                <w:szCs w:val="20"/>
              </w:rPr>
              <w:t>117</w:t>
            </w:r>
          </w:p>
        </w:tc>
        <w:tc>
          <w:tcPr>
            <w:tcW w:w="903" w:type="dxa"/>
            <w:tcBorders>
              <w:top w:val="single" w:sz="7" w:space="0" w:color="000000"/>
              <w:left w:val="nil"/>
              <w:bottom w:val="nil"/>
              <w:right w:val="nil"/>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221" w:right="153"/>
              <w:rPr>
                <w:rFonts w:ascii="Times New Roman" w:hAnsi="Times New Roman" w:cs="Times New Roman"/>
              </w:rPr>
            </w:pPr>
            <w:r>
              <w:rPr>
                <w:sz w:val="20"/>
                <w:szCs w:val="20"/>
              </w:rPr>
              <w:t>181</w:t>
            </w:r>
          </w:p>
        </w:tc>
        <w:tc>
          <w:tcPr>
            <w:tcW w:w="1029" w:type="dxa"/>
            <w:tcBorders>
              <w:top w:val="single" w:sz="7" w:space="0" w:color="000000"/>
              <w:left w:val="nil"/>
              <w:bottom w:val="nil"/>
              <w:right w:val="nil"/>
            </w:tcBorders>
            <w:shd w:val="clear" w:color="auto" w:fill="D9D9D9"/>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307" w:right="-38"/>
              <w:jc w:val="left"/>
              <w:rPr>
                <w:rFonts w:ascii="Times New Roman" w:hAnsi="Times New Roman" w:cs="Times New Roman"/>
              </w:rPr>
            </w:pPr>
            <w:r>
              <w:rPr>
                <w:sz w:val="20"/>
                <w:szCs w:val="20"/>
              </w:rPr>
              <w:t>225</w:t>
            </w:r>
          </w:p>
        </w:tc>
        <w:tc>
          <w:tcPr>
            <w:tcW w:w="690" w:type="dxa"/>
            <w:tcBorders>
              <w:top w:val="single" w:sz="7" w:space="0" w:color="000000"/>
              <w:left w:val="nil"/>
              <w:bottom w:val="nil"/>
              <w:right w:val="nil"/>
            </w:tcBorders>
            <w:shd w:val="clear" w:color="auto" w:fill="D9D9D9"/>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34"/>
              <w:jc w:val="left"/>
              <w:rPr>
                <w:rFonts w:ascii="Times New Roman" w:hAnsi="Times New Roman" w:cs="Times New Roman"/>
              </w:rPr>
            </w:pPr>
            <w:r>
              <w:rPr>
                <w:sz w:val="20"/>
                <w:szCs w:val="20"/>
              </w:rPr>
              <w:t>117%</w:t>
            </w:r>
          </w:p>
        </w:tc>
        <w:tc>
          <w:tcPr>
            <w:tcW w:w="857" w:type="dxa"/>
            <w:tcBorders>
              <w:top w:val="single" w:sz="7" w:space="0" w:color="000000"/>
              <w:left w:val="nil"/>
              <w:bottom w:val="nil"/>
              <w:right w:val="nil"/>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170" w:right="155"/>
              <w:rPr>
                <w:rFonts w:ascii="Times New Roman" w:hAnsi="Times New Roman" w:cs="Times New Roman"/>
              </w:rPr>
            </w:pPr>
            <w:r>
              <w:rPr>
                <w:sz w:val="20"/>
                <w:szCs w:val="20"/>
              </w:rPr>
              <w:t>270</w:t>
            </w:r>
          </w:p>
        </w:tc>
        <w:tc>
          <w:tcPr>
            <w:tcW w:w="856" w:type="dxa"/>
            <w:tcBorders>
              <w:top w:val="single" w:sz="7" w:space="0" w:color="000000"/>
              <w:left w:val="nil"/>
              <w:bottom w:val="nil"/>
              <w:right w:val="single" w:sz="7" w:space="0" w:color="000000"/>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right="276"/>
              <w:jc w:val="right"/>
              <w:rPr>
                <w:rFonts w:ascii="Times New Roman" w:hAnsi="Times New Roman" w:cs="Times New Roman"/>
              </w:rPr>
            </w:pPr>
            <w:r>
              <w:rPr>
                <w:w w:val="95"/>
                <w:sz w:val="20"/>
                <w:szCs w:val="20"/>
              </w:rPr>
              <w:t>335</w:t>
            </w:r>
          </w:p>
        </w:tc>
        <w:tc>
          <w:tcPr>
            <w:tcW w:w="857"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spacing w:before="3"/>
              <w:jc w:val="left"/>
              <w:rPr>
                <w:b/>
                <w:bCs/>
                <w:sz w:val="16"/>
                <w:szCs w:val="16"/>
              </w:rPr>
            </w:pPr>
          </w:p>
          <w:p w:rsidR="00AD71F6" w:rsidRDefault="00AD71F6">
            <w:pPr>
              <w:pStyle w:val="TableParagraph"/>
              <w:kinsoku w:val="0"/>
              <w:overflowPunct w:val="0"/>
              <w:spacing w:before="0"/>
              <w:ind w:left="42" w:right="23"/>
              <w:rPr>
                <w:rFonts w:ascii="Times New Roman" w:hAnsi="Times New Roman" w:cs="Times New Roman"/>
              </w:rPr>
            </w:pPr>
            <w:r>
              <w:rPr>
                <w:sz w:val="20"/>
                <w:szCs w:val="20"/>
              </w:rPr>
              <w:t>193</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126</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191</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235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118%</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280</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345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200</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0"/>
              <w:ind w:right="23"/>
              <w:jc w:val="right"/>
              <w:rPr>
                <w:rFonts w:ascii="Times New Roman" w:hAnsi="Times New Roman" w:cs="Times New Roman"/>
              </w:rPr>
            </w:pPr>
            <w:r>
              <w:rPr>
                <w:sz w:val="19"/>
                <w:szCs w:val="19"/>
              </w:rPr>
              <w:t>Cow Ck ab Galesville Reservoir</w:t>
            </w:r>
            <w:r>
              <w:rPr>
                <w:position w:val="9"/>
                <w:sz w:val="12"/>
                <w:szCs w:val="12"/>
              </w:rPr>
              <w:t>2</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1" w:right="56"/>
              <w:rPr>
                <w:rFonts w:ascii="Times New Roman" w:hAnsi="Times New Roman" w:cs="Times New Roman"/>
              </w:rPr>
            </w:pPr>
            <w:r>
              <w:rPr>
                <w:sz w:val="20"/>
                <w:szCs w:val="20"/>
              </w:rPr>
              <w:t>FEB-JUL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22</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35</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62" w:right="-38"/>
              <w:jc w:val="left"/>
              <w:rPr>
                <w:rFonts w:ascii="Times New Roman" w:hAnsi="Times New Roman" w:cs="Times New Roman"/>
              </w:rPr>
            </w:pPr>
            <w:r>
              <w:rPr>
                <w:sz w:val="20"/>
                <w:szCs w:val="20"/>
              </w:rPr>
              <w:t>43</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130%</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51</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left="339" w:right="313"/>
              <w:rPr>
                <w:rFonts w:ascii="Times New Roman" w:hAnsi="Times New Roman" w:cs="Times New Roman"/>
              </w:rPr>
            </w:pPr>
            <w:r>
              <w:rPr>
                <w:sz w:val="20"/>
                <w:szCs w:val="20"/>
              </w:rPr>
              <w:t>63</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33</w:t>
            </w:r>
          </w:p>
        </w:tc>
      </w:tr>
      <w:tr w:rsidR="00AD71F6" w:rsidTr="00AD71F6">
        <w:tblPrEx>
          <w:tblCellMar>
            <w:top w:w="0" w:type="dxa"/>
            <w:left w:w="0" w:type="dxa"/>
            <w:bottom w:w="0" w:type="dxa"/>
            <w:right w:w="0" w:type="dxa"/>
          </w:tblCellMar>
        </w:tblPrEx>
        <w:trPr>
          <w:trHeight w:hRule="exact" w:val="247"/>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8"/>
              <w:rPr>
                <w:rFonts w:ascii="Times New Roman" w:hAnsi="Times New Roman" w:cs="Times New Roman"/>
              </w:rPr>
            </w:pPr>
            <w:r>
              <w:rPr>
                <w:sz w:val="20"/>
                <w:szCs w:val="20"/>
              </w:rPr>
              <w:t>8.0</w:t>
            </w:r>
          </w:p>
        </w:tc>
        <w:tc>
          <w:tcPr>
            <w:tcW w:w="903" w:type="dxa"/>
            <w:tcBorders>
              <w:top w:val="nil"/>
              <w:left w:val="nil"/>
              <w:bottom w:val="nil"/>
              <w:right w:val="nil"/>
            </w:tcBorders>
          </w:tcPr>
          <w:p w:rsidR="00AD71F6" w:rsidRDefault="00AD71F6">
            <w:pPr>
              <w:pStyle w:val="TableParagraph"/>
              <w:kinsoku w:val="0"/>
              <w:overflowPunct w:val="0"/>
              <w:ind w:left="221" w:right="156"/>
              <w:rPr>
                <w:rFonts w:ascii="Times New Roman" w:hAnsi="Times New Roman" w:cs="Times New Roman"/>
              </w:rPr>
            </w:pPr>
            <w:r>
              <w:rPr>
                <w:sz w:val="20"/>
                <w:szCs w:val="20"/>
              </w:rPr>
              <w:t>14.1</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278" w:right="-38"/>
              <w:jc w:val="left"/>
              <w:rPr>
                <w:rFonts w:ascii="Times New Roman" w:hAnsi="Times New Roman" w:cs="Times New Roman"/>
              </w:rPr>
            </w:pPr>
            <w:r>
              <w:rPr>
                <w:sz w:val="20"/>
                <w:szCs w:val="20"/>
              </w:rPr>
              <w:t>18.2</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131%</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22</w:t>
            </w:r>
          </w:p>
        </w:tc>
        <w:tc>
          <w:tcPr>
            <w:tcW w:w="856" w:type="dxa"/>
            <w:tcBorders>
              <w:top w:val="nil"/>
              <w:left w:val="nil"/>
              <w:bottom w:val="nil"/>
              <w:right w:val="single" w:sz="7" w:space="0" w:color="000000"/>
            </w:tcBorders>
          </w:tcPr>
          <w:p w:rsidR="00AD71F6" w:rsidRDefault="00AD71F6">
            <w:pPr>
              <w:pStyle w:val="TableParagraph"/>
              <w:kinsoku w:val="0"/>
              <w:overflowPunct w:val="0"/>
              <w:ind w:left="339" w:right="313"/>
              <w:rPr>
                <w:rFonts w:ascii="Times New Roman" w:hAnsi="Times New Roman" w:cs="Times New Roman"/>
              </w:rPr>
            </w:pPr>
            <w:r>
              <w:rPr>
                <w:sz w:val="20"/>
                <w:szCs w:val="20"/>
              </w:rPr>
              <w:t>28</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6"/>
              <w:rPr>
                <w:rFonts w:ascii="Times New Roman" w:hAnsi="Times New Roman" w:cs="Times New Roman"/>
              </w:rPr>
            </w:pPr>
            <w:r>
              <w:rPr>
                <w:sz w:val="20"/>
                <w:szCs w:val="20"/>
              </w:rPr>
              <w:t>13.9</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8"/>
              <w:rPr>
                <w:rFonts w:ascii="Times New Roman" w:hAnsi="Times New Roman" w:cs="Times New Roman"/>
              </w:rPr>
            </w:pPr>
            <w:r>
              <w:rPr>
                <w:sz w:val="20"/>
                <w:szCs w:val="20"/>
              </w:rPr>
              <w:t>9.2</w:t>
            </w:r>
          </w:p>
        </w:tc>
        <w:tc>
          <w:tcPr>
            <w:tcW w:w="903" w:type="dxa"/>
            <w:tcBorders>
              <w:top w:val="nil"/>
              <w:left w:val="nil"/>
              <w:bottom w:val="nil"/>
              <w:right w:val="nil"/>
            </w:tcBorders>
          </w:tcPr>
          <w:p w:rsidR="00AD71F6" w:rsidRDefault="00AD71F6">
            <w:pPr>
              <w:pStyle w:val="TableParagraph"/>
              <w:kinsoku w:val="0"/>
              <w:overflowPunct w:val="0"/>
              <w:ind w:left="221" w:right="156"/>
              <w:rPr>
                <w:rFonts w:ascii="Times New Roman" w:hAnsi="Times New Roman" w:cs="Times New Roman"/>
              </w:rPr>
            </w:pPr>
            <w:r>
              <w:rPr>
                <w:sz w:val="20"/>
                <w:szCs w:val="20"/>
              </w:rPr>
              <w:t>15.4</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278" w:right="-38"/>
              <w:jc w:val="left"/>
              <w:rPr>
                <w:rFonts w:ascii="Times New Roman" w:hAnsi="Times New Roman" w:cs="Times New Roman"/>
              </w:rPr>
            </w:pPr>
            <w:r>
              <w:rPr>
                <w:sz w:val="20"/>
                <w:szCs w:val="20"/>
              </w:rPr>
              <w:t>19.6</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131%</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24</w:t>
            </w:r>
          </w:p>
        </w:tc>
        <w:tc>
          <w:tcPr>
            <w:tcW w:w="856" w:type="dxa"/>
            <w:tcBorders>
              <w:top w:val="nil"/>
              <w:left w:val="nil"/>
              <w:bottom w:val="nil"/>
              <w:right w:val="single" w:sz="7" w:space="0" w:color="000000"/>
            </w:tcBorders>
          </w:tcPr>
          <w:p w:rsidR="00AD71F6" w:rsidRDefault="00AD71F6">
            <w:pPr>
              <w:pStyle w:val="TableParagraph"/>
              <w:kinsoku w:val="0"/>
              <w:overflowPunct w:val="0"/>
              <w:ind w:left="339" w:right="313"/>
              <w:rPr>
                <w:rFonts w:ascii="Times New Roman" w:hAnsi="Times New Roman" w:cs="Times New Roman"/>
              </w:rPr>
            </w:pPr>
            <w:r>
              <w:rPr>
                <w:sz w:val="20"/>
                <w:szCs w:val="20"/>
              </w:rPr>
              <w:t>30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6"/>
              <w:rPr>
                <w:rFonts w:ascii="Times New Roman" w:hAnsi="Times New Roman" w:cs="Times New Roman"/>
              </w:rPr>
            </w:pPr>
            <w:r>
              <w:rPr>
                <w:sz w:val="20"/>
                <w:szCs w:val="20"/>
              </w:rPr>
              <w:t>15.0</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106"/>
              <w:ind w:right="24"/>
              <w:jc w:val="right"/>
              <w:rPr>
                <w:rFonts w:ascii="Times New Roman" w:hAnsi="Times New Roman" w:cs="Times New Roman"/>
              </w:rPr>
            </w:pPr>
            <w:r>
              <w:rPr>
                <w:sz w:val="19"/>
                <w:szCs w:val="19"/>
              </w:rPr>
              <w:t>South Umpqua R nr Brockway</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215</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370</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470</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121%</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575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76"/>
              <w:jc w:val="right"/>
              <w:rPr>
                <w:rFonts w:ascii="Times New Roman" w:hAnsi="Times New Roman" w:cs="Times New Roman"/>
              </w:rPr>
            </w:pPr>
            <w:r>
              <w:rPr>
                <w:w w:val="95"/>
                <w:sz w:val="20"/>
                <w:szCs w:val="20"/>
              </w:rPr>
              <w:t>730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390</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235</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390</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495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121%</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600</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760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410</w:t>
            </w:r>
          </w:p>
        </w:tc>
      </w:tr>
      <w:tr w:rsidR="00AD71F6" w:rsidTr="00AD71F6">
        <w:tblPrEx>
          <w:tblCellMar>
            <w:top w:w="0" w:type="dxa"/>
            <w:left w:w="0" w:type="dxa"/>
            <w:bottom w:w="0" w:type="dxa"/>
            <w:right w:w="0" w:type="dxa"/>
          </w:tblCellMar>
        </w:tblPrEx>
        <w:trPr>
          <w:trHeight w:hRule="exact" w:val="332"/>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106"/>
              <w:ind w:right="25"/>
              <w:jc w:val="right"/>
              <w:rPr>
                <w:rFonts w:ascii="Times New Roman" w:hAnsi="Times New Roman" w:cs="Times New Roman"/>
              </w:rPr>
            </w:pPr>
            <w:r>
              <w:rPr>
                <w:sz w:val="19"/>
                <w:szCs w:val="19"/>
              </w:rPr>
              <w:t>North Umpqua R at Winchester</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545</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730</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855</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110%</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985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21"/>
              <w:jc w:val="right"/>
              <w:rPr>
                <w:rFonts w:ascii="Times New Roman" w:hAnsi="Times New Roman" w:cs="Times New Roman"/>
              </w:rPr>
            </w:pPr>
            <w:r>
              <w:rPr>
                <w:w w:val="95"/>
                <w:sz w:val="20"/>
                <w:szCs w:val="20"/>
              </w:rPr>
              <w:t>1170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775</w:t>
            </w:r>
          </w:p>
        </w:tc>
      </w:tr>
      <w:tr w:rsidR="00AD71F6" w:rsidTr="00AD71F6">
        <w:tblPrEx>
          <w:tblCellMar>
            <w:top w:w="0" w:type="dxa"/>
            <w:left w:w="0" w:type="dxa"/>
            <w:bottom w:w="0" w:type="dxa"/>
            <w:right w:w="0" w:type="dxa"/>
          </w:tblCellMar>
        </w:tblPrEx>
        <w:trPr>
          <w:trHeight w:hRule="exact" w:val="332"/>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660</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855</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985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111%</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1120</w:t>
            </w:r>
          </w:p>
        </w:tc>
        <w:tc>
          <w:tcPr>
            <w:tcW w:w="856" w:type="dxa"/>
            <w:tcBorders>
              <w:top w:val="nil"/>
              <w:left w:val="nil"/>
              <w:bottom w:val="nil"/>
              <w:right w:val="single" w:sz="7" w:space="0" w:color="000000"/>
            </w:tcBorders>
          </w:tcPr>
          <w:p w:rsidR="00AD71F6" w:rsidRDefault="00AD71F6">
            <w:pPr>
              <w:pStyle w:val="TableParagraph"/>
              <w:kinsoku w:val="0"/>
              <w:overflowPunct w:val="0"/>
              <w:ind w:right="221"/>
              <w:jc w:val="right"/>
              <w:rPr>
                <w:rFonts w:ascii="Times New Roman" w:hAnsi="Times New Roman" w:cs="Times New Roman"/>
              </w:rPr>
            </w:pPr>
            <w:r>
              <w:rPr>
                <w:w w:val="95"/>
                <w:sz w:val="20"/>
                <w:szCs w:val="20"/>
              </w:rPr>
              <w:t>1310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890</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0"/>
              <w:ind w:right="23"/>
              <w:jc w:val="right"/>
              <w:rPr>
                <w:rFonts w:ascii="Times New Roman" w:hAnsi="Times New Roman" w:cs="Times New Roman"/>
              </w:rPr>
            </w:pPr>
            <w:r>
              <w:rPr>
                <w:sz w:val="19"/>
                <w:szCs w:val="19"/>
              </w:rPr>
              <w:t>Lost Creek Lk Inflow</w:t>
            </w:r>
            <w:r>
              <w:rPr>
                <w:position w:val="9"/>
                <w:sz w:val="12"/>
                <w:szCs w:val="12"/>
              </w:rPr>
              <w:t>2</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1" w:right="56"/>
              <w:rPr>
                <w:rFonts w:ascii="Times New Roman" w:hAnsi="Times New Roman" w:cs="Times New Roman"/>
              </w:rPr>
            </w:pPr>
            <w:r>
              <w:rPr>
                <w:sz w:val="20"/>
                <w:szCs w:val="20"/>
              </w:rPr>
              <w:t>FEB-JUL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610</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750</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845</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106%</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945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21"/>
              <w:jc w:val="right"/>
              <w:rPr>
                <w:rFonts w:ascii="Times New Roman" w:hAnsi="Times New Roman" w:cs="Times New Roman"/>
              </w:rPr>
            </w:pPr>
            <w:r>
              <w:rPr>
                <w:w w:val="95"/>
                <w:sz w:val="20"/>
                <w:szCs w:val="20"/>
              </w:rPr>
              <w:t>1080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795</w:t>
            </w:r>
          </w:p>
        </w:tc>
      </w:tr>
      <w:tr w:rsidR="00AD71F6" w:rsidTr="00AD71F6">
        <w:tblPrEx>
          <w:tblCellMar>
            <w:top w:w="0" w:type="dxa"/>
            <w:left w:w="0" w:type="dxa"/>
            <w:bottom w:w="0" w:type="dxa"/>
            <w:right w:w="0" w:type="dxa"/>
          </w:tblCellMar>
        </w:tblPrEx>
        <w:trPr>
          <w:trHeight w:hRule="exact" w:val="247"/>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4"/>
              <w:rPr>
                <w:rFonts w:ascii="Times New Roman" w:hAnsi="Times New Roman" w:cs="Times New Roman"/>
              </w:rPr>
            </w:pPr>
            <w:r>
              <w:rPr>
                <w:sz w:val="20"/>
                <w:szCs w:val="20"/>
              </w:rPr>
              <w:t>FEB-SEP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720</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875</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980</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107%</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1090</w:t>
            </w:r>
          </w:p>
        </w:tc>
        <w:tc>
          <w:tcPr>
            <w:tcW w:w="856" w:type="dxa"/>
            <w:tcBorders>
              <w:top w:val="nil"/>
              <w:left w:val="nil"/>
              <w:bottom w:val="nil"/>
              <w:right w:val="single" w:sz="7" w:space="0" w:color="000000"/>
            </w:tcBorders>
          </w:tcPr>
          <w:p w:rsidR="00AD71F6" w:rsidRDefault="00AD71F6">
            <w:pPr>
              <w:pStyle w:val="TableParagraph"/>
              <w:kinsoku w:val="0"/>
              <w:overflowPunct w:val="0"/>
              <w:ind w:right="221"/>
              <w:jc w:val="right"/>
              <w:rPr>
                <w:rFonts w:ascii="Times New Roman" w:hAnsi="Times New Roman" w:cs="Times New Roman"/>
              </w:rPr>
            </w:pPr>
            <w:r>
              <w:rPr>
                <w:w w:val="95"/>
                <w:sz w:val="20"/>
                <w:szCs w:val="20"/>
              </w:rPr>
              <w:t>1240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920</w:t>
            </w:r>
          </w:p>
        </w:tc>
      </w:tr>
      <w:tr w:rsidR="00AD71F6" w:rsidTr="00AD71F6">
        <w:tblPrEx>
          <w:tblCellMar>
            <w:top w:w="0" w:type="dxa"/>
            <w:left w:w="0" w:type="dxa"/>
            <w:bottom w:w="0" w:type="dxa"/>
            <w:right w:w="0" w:type="dxa"/>
          </w:tblCellMar>
        </w:tblPrEx>
        <w:trPr>
          <w:trHeight w:hRule="exact" w:val="247"/>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395</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490</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560</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108%</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625</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725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520</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505</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615</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690</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107%</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770</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880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645</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0"/>
              <w:ind w:right="23"/>
              <w:jc w:val="right"/>
              <w:rPr>
                <w:rFonts w:ascii="Times New Roman" w:hAnsi="Times New Roman" w:cs="Times New Roman"/>
              </w:rPr>
            </w:pPr>
            <w:r>
              <w:rPr>
                <w:sz w:val="19"/>
                <w:szCs w:val="19"/>
              </w:rPr>
              <w:t>Rogue R at Raygold</w:t>
            </w:r>
            <w:r>
              <w:rPr>
                <w:position w:val="9"/>
                <w:sz w:val="12"/>
                <w:szCs w:val="12"/>
              </w:rPr>
              <w:t>2</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465</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630</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740</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110%</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855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21"/>
              <w:jc w:val="right"/>
              <w:rPr>
                <w:rFonts w:ascii="Times New Roman" w:hAnsi="Times New Roman" w:cs="Times New Roman"/>
              </w:rPr>
            </w:pPr>
            <w:r>
              <w:rPr>
                <w:w w:val="95"/>
                <w:sz w:val="20"/>
                <w:szCs w:val="20"/>
              </w:rPr>
              <w:t>1020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675</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580</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760</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885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110%</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1010</w:t>
            </w:r>
          </w:p>
        </w:tc>
        <w:tc>
          <w:tcPr>
            <w:tcW w:w="856" w:type="dxa"/>
            <w:tcBorders>
              <w:top w:val="nil"/>
              <w:left w:val="nil"/>
              <w:bottom w:val="nil"/>
              <w:right w:val="single" w:sz="7" w:space="0" w:color="000000"/>
            </w:tcBorders>
          </w:tcPr>
          <w:p w:rsidR="00AD71F6" w:rsidRDefault="00AD71F6">
            <w:pPr>
              <w:pStyle w:val="TableParagraph"/>
              <w:kinsoku w:val="0"/>
              <w:overflowPunct w:val="0"/>
              <w:ind w:right="221"/>
              <w:jc w:val="right"/>
              <w:rPr>
                <w:rFonts w:ascii="Times New Roman" w:hAnsi="Times New Roman" w:cs="Times New Roman"/>
              </w:rPr>
            </w:pPr>
            <w:r>
              <w:rPr>
                <w:w w:val="95"/>
                <w:sz w:val="20"/>
                <w:szCs w:val="20"/>
              </w:rPr>
              <w:t>1190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805</w:t>
            </w:r>
          </w:p>
        </w:tc>
      </w:tr>
      <w:tr w:rsidR="00AD71F6" w:rsidTr="00AD71F6">
        <w:tblPrEx>
          <w:tblCellMar>
            <w:top w:w="0" w:type="dxa"/>
            <w:left w:w="0" w:type="dxa"/>
            <w:bottom w:w="0" w:type="dxa"/>
            <w:right w:w="0" w:type="dxa"/>
          </w:tblCellMar>
        </w:tblPrEx>
        <w:trPr>
          <w:trHeight w:hRule="exact" w:val="332"/>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0"/>
              <w:ind w:right="23"/>
              <w:jc w:val="right"/>
              <w:rPr>
                <w:rFonts w:ascii="Times New Roman" w:hAnsi="Times New Roman" w:cs="Times New Roman"/>
              </w:rPr>
            </w:pPr>
            <w:r>
              <w:rPr>
                <w:sz w:val="19"/>
                <w:szCs w:val="19"/>
              </w:rPr>
              <w:t>Rogue R at Grants Pass</w:t>
            </w:r>
            <w:r>
              <w:rPr>
                <w:position w:val="9"/>
                <w:sz w:val="12"/>
                <w:szCs w:val="12"/>
              </w:rPr>
              <w:t>2</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470</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665</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795</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110%</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930</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21"/>
              <w:jc w:val="right"/>
              <w:rPr>
                <w:rFonts w:ascii="Times New Roman" w:hAnsi="Times New Roman" w:cs="Times New Roman"/>
              </w:rPr>
            </w:pPr>
            <w:r>
              <w:rPr>
                <w:w w:val="95"/>
                <w:sz w:val="20"/>
                <w:szCs w:val="20"/>
              </w:rPr>
              <w:t>1130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725</w:t>
            </w:r>
          </w:p>
        </w:tc>
      </w:tr>
      <w:tr w:rsidR="00AD71F6" w:rsidTr="00AD71F6">
        <w:tblPrEx>
          <w:tblCellMar>
            <w:top w:w="0" w:type="dxa"/>
            <w:left w:w="0" w:type="dxa"/>
            <w:bottom w:w="0" w:type="dxa"/>
            <w:right w:w="0" w:type="dxa"/>
          </w:tblCellMar>
        </w:tblPrEx>
        <w:trPr>
          <w:trHeight w:hRule="exact" w:val="332"/>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580</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790</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935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111%</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1080</w:t>
            </w:r>
          </w:p>
        </w:tc>
        <w:tc>
          <w:tcPr>
            <w:tcW w:w="856" w:type="dxa"/>
            <w:tcBorders>
              <w:top w:val="nil"/>
              <w:left w:val="nil"/>
              <w:bottom w:val="nil"/>
              <w:right w:val="single" w:sz="7" w:space="0" w:color="000000"/>
            </w:tcBorders>
          </w:tcPr>
          <w:p w:rsidR="00AD71F6" w:rsidRDefault="00AD71F6">
            <w:pPr>
              <w:pStyle w:val="TableParagraph"/>
              <w:kinsoku w:val="0"/>
              <w:overflowPunct w:val="0"/>
              <w:ind w:right="221"/>
              <w:jc w:val="right"/>
              <w:rPr>
                <w:rFonts w:ascii="Times New Roman" w:hAnsi="Times New Roman" w:cs="Times New Roman"/>
              </w:rPr>
            </w:pPr>
            <w:r>
              <w:rPr>
                <w:w w:val="95"/>
                <w:sz w:val="20"/>
                <w:szCs w:val="20"/>
              </w:rPr>
              <w:t>1290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845</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70"/>
              <w:ind w:right="23"/>
              <w:jc w:val="right"/>
              <w:rPr>
                <w:rFonts w:ascii="Times New Roman" w:hAnsi="Times New Roman" w:cs="Times New Roman"/>
              </w:rPr>
            </w:pPr>
            <w:r>
              <w:rPr>
                <w:sz w:val="19"/>
                <w:szCs w:val="19"/>
              </w:rPr>
              <w:t>Applegate Lake Inflow</w:t>
            </w:r>
            <w:r>
              <w:rPr>
                <w:position w:val="9"/>
                <w:sz w:val="12"/>
                <w:szCs w:val="12"/>
              </w:rPr>
              <w:t>2</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1" w:right="56"/>
              <w:rPr>
                <w:rFonts w:ascii="Times New Roman" w:hAnsi="Times New Roman" w:cs="Times New Roman"/>
              </w:rPr>
            </w:pPr>
            <w:r>
              <w:rPr>
                <w:sz w:val="20"/>
                <w:szCs w:val="20"/>
              </w:rPr>
              <w:t>FEB-JUL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113</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186</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235</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121%</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285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76"/>
              <w:jc w:val="right"/>
              <w:rPr>
                <w:rFonts w:ascii="Times New Roman" w:hAnsi="Times New Roman" w:cs="Times New Roman"/>
              </w:rPr>
            </w:pPr>
            <w:r>
              <w:rPr>
                <w:w w:val="95"/>
                <w:sz w:val="20"/>
                <w:szCs w:val="20"/>
              </w:rPr>
              <w:t>355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195</w:t>
            </w:r>
          </w:p>
        </w:tc>
      </w:tr>
      <w:tr w:rsidR="00AD71F6" w:rsidTr="00AD71F6">
        <w:tblPrEx>
          <w:tblCellMar>
            <w:top w:w="0" w:type="dxa"/>
            <w:left w:w="0" w:type="dxa"/>
            <w:bottom w:w="0" w:type="dxa"/>
            <w:right w:w="0" w:type="dxa"/>
          </w:tblCellMar>
        </w:tblPrEx>
        <w:trPr>
          <w:trHeight w:hRule="exact" w:val="247"/>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4"/>
              <w:rPr>
                <w:rFonts w:ascii="Times New Roman" w:hAnsi="Times New Roman" w:cs="Times New Roman"/>
              </w:rPr>
            </w:pPr>
            <w:r>
              <w:rPr>
                <w:sz w:val="20"/>
                <w:szCs w:val="20"/>
              </w:rPr>
              <w:t>FEB-SEP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119</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193</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245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123%</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295</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370</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200</w:t>
            </w:r>
          </w:p>
        </w:tc>
      </w:tr>
      <w:tr w:rsidR="00AD71F6" w:rsidTr="00AD71F6">
        <w:tblPrEx>
          <w:tblCellMar>
            <w:top w:w="0" w:type="dxa"/>
            <w:left w:w="0" w:type="dxa"/>
            <w:bottom w:w="0" w:type="dxa"/>
            <w:right w:w="0" w:type="dxa"/>
          </w:tblCellMar>
        </w:tblPrEx>
        <w:trPr>
          <w:trHeight w:hRule="exact" w:val="247"/>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65</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107</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135</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124%</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164</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205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109</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71</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114</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144</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125%</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173</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215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115</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106"/>
              <w:ind w:right="27"/>
              <w:jc w:val="right"/>
              <w:rPr>
                <w:rFonts w:ascii="Times New Roman" w:hAnsi="Times New Roman" w:cs="Times New Roman"/>
              </w:rPr>
            </w:pPr>
            <w:r>
              <w:rPr>
                <w:sz w:val="19"/>
                <w:szCs w:val="19"/>
              </w:rPr>
              <w:t>Sucker Ck bl Ltl Grayback nr Holland</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29</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51</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62" w:right="-38"/>
              <w:jc w:val="left"/>
              <w:rPr>
                <w:rFonts w:ascii="Times New Roman" w:hAnsi="Times New Roman" w:cs="Times New Roman"/>
              </w:rPr>
            </w:pPr>
            <w:r>
              <w:rPr>
                <w:sz w:val="20"/>
                <w:szCs w:val="20"/>
              </w:rPr>
              <w:t>66</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120%</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80</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76"/>
              <w:jc w:val="right"/>
              <w:rPr>
                <w:rFonts w:ascii="Times New Roman" w:hAnsi="Times New Roman" w:cs="Times New Roman"/>
              </w:rPr>
            </w:pPr>
            <w:r>
              <w:rPr>
                <w:w w:val="95"/>
                <w:sz w:val="20"/>
                <w:szCs w:val="20"/>
              </w:rPr>
              <w:t>102</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55</w:t>
            </w:r>
          </w:p>
        </w:tc>
      </w:tr>
      <w:tr w:rsidR="00AD71F6" w:rsidTr="00AD71F6">
        <w:tblPrEx>
          <w:tblCellMar>
            <w:top w:w="0" w:type="dxa"/>
            <w:left w:w="0" w:type="dxa"/>
            <w:bottom w:w="0" w:type="dxa"/>
            <w:right w:w="0" w:type="dxa"/>
          </w:tblCellMar>
        </w:tblPrEx>
        <w:trPr>
          <w:trHeight w:hRule="exact" w:val="331"/>
        </w:trPr>
        <w:tc>
          <w:tcPr>
            <w:tcW w:w="3217" w:type="dxa"/>
            <w:tcBorders>
              <w:top w:val="nil"/>
              <w:left w:val="single" w:sz="7" w:space="0" w:color="000000"/>
              <w:bottom w:val="nil"/>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nil"/>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33</w:t>
            </w:r>
          </w:p>
        </w:tc>
        <w:tc>
          <w:tcPr>
            <w:tcW w:w="903" w:type="dxa"/>
            <w:tcBorders>
              <w:top w:val="nil"/>
              <w:left w:val="nil"/>
              <w:bottom w:val="nil"/>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55</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62" w:right="-38"/>
              <w:jc w:val="left"/>
              <w:rPr>
                <w:rFonts w:ascii="Times New Roman" w:hAnsi="Times New Roman" w:cs="Times New Roman"/>
              </w:rPr>
            </w:pPr>
            <w:r>
              <w:rPr>
                <w:sz w:val="20"/>
                <w:szCs w:val="20"/>
              </w:rPr>
              <w:t>70</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119%</w:t>
            </w:r>
          </w:p>
        </w:tc>
        <w:tc>
          <w:tcPr>
            <w:tcW w:w="857" w:type="dxa"/>
            <w:tcBorders>
              <w:top w:val="nil"/>
              <w:left w:val="nil"/>
              <w:bottom w:val="nil"/>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85</w:t>
            </w:r>
          </w:p>
        </w:tc>
        <w:tc>
          <w:tcPr>
            <w:tcW w:w="856" w:type="dxa"/>
            <w:tcBorders>
              <w:top w:val="nil"/>
              <w:left w:val="nil"/>
              <w:bottom w:val="nil"/>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107</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59</w:t>
            </w:r>
          </w:p>
        </w:tc>
      </w:tr>
      <w:tr w:rsidR="00AD71F6" w:rsidTr="00AD71F6">
        <w:tblPrEx>
          <w:tblCellMar>
            <w:top w:w="0" w:type="dxa"/>
            <w:left w:w="0" w:type="dxa"/>
            <w:bottom w:w="0" w:type="dxa"/>
            <w:right w:w="0" w:type="dxa"/>
          </w:tblCellMar>
        </w:tblPrEx>
        <w:trPr>
          <w:trHeight w:hRule="exact" w:val="332"/>
        </w:trPr>
        <w:tc>
          <w:tcPr>
            <w:tcW w:w="3217" w:type="dxa"/>
            <w:tcBorders>
              <w:top w:val="nil"/>
              <w:left w:val="single" w:sz="7" w:space="0" w:color="000000"/>
              <w:bottom w:val="nil"/>
              <w:right w:val="single" w:sz="7" w:space="0" w:color="000000"/>
            </w:tcBorders>
          </w:tcPr>
          <w:p w:rsidR="00AD71F6" w:rsidRDefault="00AD71F6">
            <w:pPr>
              <w:pStyle w:val="TableParagraph"/>
              <w:kinsoku w:val="0"/>
              <w:overflowPunct w:val="0"/>
              <w:spacing w:before="106"/>
              <w:ind w:right="24"/>
              <w:jc w:val="right"/>
              <w:rPr>
                <w:rFonts w:ascii="Times New Roman" w:hAnsi="Times New Roman" w:cs="Times New Roman"/>
              </w:rPr>
            </w:pPr>
            <w:r>
              <w:rPr>
                <w:sz w:val="19"/>
                <w:szCs w:val="19"/>
              </w:rPr>
              <w:t>Illinois R nr Kerby</w:t>
            </w:r>
          </w:p>
        </w:tc>
        <w:tc>
          <w:tcPr>
            <w:tcW w:w="98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73" w:right="55"/>
              <w:rPr>
                <w:rFonts w:ascii="Times New Roman" w:hAnsi="Times New Roman" w:cs="Times New Roman"/>
              </w:rPr>
            </w:pPr>
            <w:r>
              <w:rPr>
                <w:sz w:val="20"/>
                <w:szCs w:val="20"/>
              </w:rPr>
              <w:t>APR-JUL</w:t>
            </w:r>
          </w:p>
        </w:tc>
        <w:tc>
          <w:tcPr>
            <w:tcW w:w="1000" w:type="dxa"/>
            <w:tcBorders>
              <w:top w:val="nil"/>
              <w:left w:val="single" w:sz="7" w:space="0" w:color="000000"/>
              <w:bottom w:val="nil"/>
              <w:right w:val="nil"/>
            </w:tcBorders>
          </w:tcPr>
          <w:p w:rsidR="00AD71F6" w:rsidRDefault="00AD71F6">
            <w:pPr>
              <w:pStyle w:val="TableParagraph"/>
              <w:kinsoku w:val="0"/>
              <w:overflowPunct w:val="0"/>
              <w:spacing w:before="97"/>
              <w:ind w:left="263" w:right="205"/>
              <w:rPr>
                <w:rFonts w:ascii="Times New Roman" w:hAnsi="Times New Roman" w:cs="Times New Roman"/>
              </w:rPr>
            </w:pPr>
            <w:r>
              <w:rPr>
                <w:sz w:val="20"/>
                <w:szCs w:val="20"/>
              </w:rPr>
              <w:t>89</w:t>
            </w:r>
          </w:p>
        </w:tc>
        <w:tc>
          <w:tcPr>
            <w:tcW w:w="903" w:type="dxa"/>
            <w:tcBorders>
              <w:top w:val="nil"/>
              <w:left w:val="nil"/>
              <w:bottom w:val="nil"/>
              <w:right w:val="nil"/>
            </w:tcBorders>
          </w:tcPr>
          <w:p w:rsidR="00AD71F6" w:rsidRDefault="00AD71F6">
            <w:pPr>
              <w:pStyle w:val="TableParagraph"/>
              <w:kinsoku w:val="0"/>
              <w:overflowPunct w:val="0"/>
              <w:spacing w:before="97"/>
              <w:ind w:left="221" w:right="153"/>
              <w:rPr>
                <w:rFonts w:ascii="Times New Roman" w:hAnsi="Times New Roman" w:cs="Times New Roman"/>
              </w:rPr>
            </w:pPr>
            <w:r>
              <w:rPr>
                <w:sz w:val="20"/>
                <w:szCs w:val="20"/>
              </w:rPr>
              <w:t>168</w:t>
            </w:r>
          </w:p>
        </w:tc>
        <w:tc>
          <w:tcPr>
            <w:tcW w:w="1029" w:type="dxa"/>
            <w:tcBorders>
              <w:top w:val="nil"/>
              <w:left w:val="nil"/>
              <w:bottom w:val="nil"/>
              <w:right w:val="nil"/>
            </w:tcBorders>
            <w:shd w:val="clear" w:color="auto" w:fill="D9D9D9"/>
          </w:tcPr>
          <w:p w:rsidR="00AD71F6" w:rsidRDefault="00AD71F6">
            <w:pPr>
              <w:pStyle w:val="TableParagraph"/>
              <w:kinsoku w:val="0"/>
              <w:overflowPunct w:val="0"/>
              <w:spacing w:before="97"/>
              <w:ind w:left="307" w:right="-38"/>
              <w:jc w:val="left"/>
              <w:rPr>
                <w:rFonts w:ascii="Times New Roman" w:hAnsi="Times New Roman" w:cs="Times New Roman"/>
              </w:rPr>
            </w:pPr>
            <w:r>
              <w:rPr>
                <w:sz w:val="20"/>
                <w:szCs w:val="20"/>
              </w:rPr>
              <w:t>220</w:t>
            </w:r>
          </w:p>
        </w:tc>
        <w:tc>
          <w:tcPr>
            <w:tcW w:w="690" w:type="dxa"/>
            <w:tcBorders>
              <w:top w:val="nil"/>
              <w:left w:val="nil"/>
              <w:bottom w:val="nil"/>
              <w:right w:val="nil"/>
            </w:tcBorders>
            <w:shd w:val="clear" w:color="auto" w:fill="D9D9D9"/>
          </w:tcPr>
          <w:p w:rsidR="00AD71F6" w:rsidRDefault="00AD71F6">
            <w:pPr>
              <w:pStyle w:val="TableParagraph"/>
              <w:kinsoku w:val="0"/>
              <w:overflowPunct w:val="0"/>
              <w:spacing w:before="97"/>
              <w:ind w:left="34"/>
              <w:jc w:val="left"/>
              <w:rPr>
                <w:rFonts w:ascii="Times New Roman" w:hAnsi="Times New Roman" w:cs="Times New Roman"/>
              </w:rPr>
            </w:pPr>
            <w:r>
              <w:rPr>
                <w:sz w:val="20"/>
                <w:szCs w:val="20"/>
              </w:rPr>
              <w:t>117%</w:t>
            </w:r>
          </w:p>
        </w:tc>
        <w:tc>
          <w:tcPr>
            <w:tcW w:w="857" w:type="dxa"/>
            <w:tcBorders>
              <w:top w:val="nil"/>
              <w:left w:val="nil"/>
              <w:bottom w:val="nil"/>
              <w:right w:val="nil"/>
            </w:tcBorders>
          </w:tcPr>
          <w:p w:rsidR="00AD71F6" w:rsidRDefault="00AD71F6">
            <w:pPr>
              <w:pStyle w:val="TableParagraph"/>
              <w:kinsoku w:val="0"/>
              <w:overflowPunct w:val="0"/>
              <w:spacing w:before="97"/>
              <w:ind w:left="170" w:right="155"/>
              <w:rPr>
                <w:rFonts w:ascii="Times New Roman" w:hAnsi="Times New Roman" w:cs="Times New Roman"/>
              </w:rPr>
            </w:pPr>
            <w:r>
              <w:rPr>
                <w:sz w:val="20"/>
                <w:szCs w:val="20"/>
              </w:rPr>
              <w:t>275</w:t>
            </w:r>
          </w:p>
        </w:tc>
        <w:tc>
          <w:tcPr>
            <w:tcW w:w="856" w:type="dxa"/>
            <w:tcBorders>
              <w:top w:val="nil"/>
              <w:left w:val="nil"/>
              <w:bottom w:val="nil"/>
              <w:right w:val="single" w:sz="7" w:space="0" w:color="000000"/>
            </w:tcBorders>
          </w:tcPr>
          <w:p w:rsidR="00AD71F6" w:rsidRDefault="00AD71F6">
            <w:pPr>
              <w:pStyle w:val="TableParagraph"/>
              <w:kinsoku w:val="0"/>
              <w:overflowPunct w:val="0"/>
              <w:spacing w:before="97"/>
              <w:ind w:right="276"/>
              <w:jc w:val="right"/>
              <w:rPr>
                <w:rFonts w:ascii="Times New Roman" w:hAnsi="Times New Roman" w:cs="Times New Roman"/>
              </w:rPr>
            </w:pPr>
            <w:r>
              <w:rPr>
                <w:w w:val="95"/>
                <w:sz w:val="20"/>
                <w:szCs w:val="20"/>
              </w:rPr>
              <w:t>355</w:t>
            </w:r>
          </w:p>
        </w:tc>
        <w:tc>
          <w:tcPr>
            <w:tcW w:w="857" w:type="dxa"/>
            <w:tcBorders>
              <w:top w:val="nil"/>
              <w:left w:val="single" w:sz="7" w:space="0" w:color="000000"/>
              <w:bottom w:val="nil"/>
              <w:right w:val="single" w:sz="7" w:space="0" w:color="000000"/>
            </w:tcBorders>
          </w:tcPr>
          <w:p w:rsidR="00AD71F6" w:rsidRDefault="00AD71F6">
            <w:pPr>
              <w:pStyle w:val="TableParagraph"/>
              <w:kinsoku w:val="0"/>
              <w:overflowPunct w:val="0"/>
              <w:spacing w:before="97"/>
              <w:ind w:left="42" w:right="23"/>
              <w:rPr>
                <w:rFonts w:ascii="Times New Roman" w:hAnsi="Times New Roman" w:cs="Times New Roman"/>
              </w:rPr>
            </w:pPr>
            <w:r>
              <w:rPr>
                <w:sz w:val="20"/>
                <w:szCs w:val="20"/>
              </w:rPr>
              <w:t>188</w:t>
            </w:r>
          </w:p>
        </w:tc>
      </w:tr>
      <w:tr w:rsidR="00AD71F6" w:rsidTr="00AD71F6">
        <w:tblPrEx>
          <w:tblCellMar>
            <w:top w:w="0" w:type="dxa"/>
            <w:left w:w="0" w:type="dxa"/>
            <w:bottom w:w="0" w:type="dxa"/>
            <w:right w:w="0" w:type="dxa"/>
          </w:tblCellMar>
        </w:tblPrEx>
        <w:trPr>
          <w:trHeight w:hRule="exact" w:val="240"/>
        </w:trPr>
        <w:tc>
          <w:tcPr>
            <w:tcW w:w="3217" w:type="dxa"/>
            <w:tcBorders>
              <w:top w:val="nil"/>
              <w:left w:val="single" w:sz="7" w:space="0" w:color="000000"/>
              <w:bottom w:val="single" w:sz="7" w:space="0" w:color="000000"/>
              <w:right w:val="single" w:sz="7" w:space="0" w:color="000000"/>
            </w:tcBorders>
          </w:tcPr>
          <w:p w:rsidR="00AD71F6" w:rsidRDefault="00AD71F6">
            <w:pPr>
              <w:rPr>
                <w:rFonts w:ascii="Times New Roman" w:hAnsi="Times New Roman" w:cs="Times New Roman"/>
              </w:rPr>
            </w:pPr>
          </w:p>
        </w:tc>
        <w:tc>
          <w:tcPr>
            <w:tcW w:w="987"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ind w:left="73" w:right="56"/>
              <w:rPr>
                <w:rFonts w:ascii="Times New Roman" w:hAnsi="Times New Roman" w:cs="Times New Roman"/>
              </w:rPr>
            </w:pPr>
            <w:r>
              <w:rPr>
                <w:sz w:val="20"/>
                <w:szCs w:val="20"/>
              </w:rPr>
              <w:t>APR-SEP</w:t>
            </w:r>
          </w:p>
        </w:tc>
        <w:tc>
          <w:tcPr>
            <w:tcW w:w="1000" w:type="dxa"/>
            <w:tcBorders>
              <w:top w:val="nil"/>
              <w:left w:val="single" w:sz="7" w:space="0" w:color="000000"/>
              <w:bottom w:val="single" w:sz="7" w:space="0" w:color="000000"/>
              <w:right w:val="nil"/>
            </w:tcBorders>
          </w:tcPr>
          <w:p w:rsidR="00AD71F6" w:rsidRDefault="00AD71F6">
            <w:pPr>
              <w:pStyle w:val="TableParagraph"/>
              <w:kinsoku w:val="0"/>
              <w:overflowPunct w:val="0"/>
              <w:ind w:left="263" w:right="205"/>
              <w:rPr>
                <w:rFonts w:ascii="Times New Roman" w:hAnsi="Times New Roman" w:cs="Times New Roman"/>
              </w:rPr>
            </w:pPr>
            <w:r>
              <w:rPr>
                <w:sz w:val="20"/>
                <w:szCs w:val="20"/>
              </w:rPr>
              <w:t>95</w:t>
            </w:r>
          </w:p>
        </w:tc>
        <w:tc>
          <w:tcPr>
            <w:tcW w:w="903" w:type="dxa"/>
            <w:tcBorders>
              <w:top w:val="nil"/>
              <w:left w:val="nil"/>
              <w:bottom w:val="single" w:sz="7" w:space="0" w:color="000000"/>
              <w:right w:val="nil"/>
            </w:tcBorders>
          </w:tcPr>
          <w:p w:rsidR="00AD71F6" w:rsidRDefault="00AD71F6">
            <w:pPr>
              <w:pStyle w:val="TableParagraph"/>
              <w:kinsoku w:val="0"/>
              <w:overflowPunct w:val="0"/>
              <w:ind w:left="221" w:right="153"/>
              <w:rPr>
                <w:rFonts w:ascii="Times New Roman" w:hAnsi="Times New Roman" w:cs="Times New Roman"/>
              </w:rPr>
            </w:pPr>
            <w:r>
              <w:rPr>
                <w:sz w:val="20"/>
                <w:szCs w:val="20"/>
              </w:rPr>
              <w:t>175</w:t>
            </w:r>
          </w:p>
        </w:tc>
        <w:tc>
          <w:tcPr>
            <w:tcW w:w="1029" w:type="dxa"/>
            <w:tcBorders>
              <w:top w:val="nil"/>
              <w:left w:val="nil"/>
              <w:bottom w:val="nil"/>
              <w:right w:val="nil"/>
            </w:tcBorders>
            <w:shd w:val="clear" w:color="auto" w:fill="D9D9D9"/>
          </w:tcPr>
          <w:p w:rsidR="00AD71F6" w:rsidRDefault="00AD71F6">
            <w:pPr>
              <w:pStyle w:val="TableParagraph"/>
              <w:kinsoku w:val="0"/>
              <w:overflowPunct w:val="0"/>
              <w:ind w:left="307" w:right="-38"/>
              <w:jc w:val="left"/>
              <w:rPr>
                <w:rFonts w:ascii="Times New Roman" w:hAnsi="Times New Roman" w:cs="Times New Roman"/>
              </w:rPr>
            </w:pPr>
            <w:r>
              <w:rPr>
                <w:sz w:val="20"/>
                <w:szCs w:val="20"/>
              </w:rPr>
              <w:t>230</w:t>
            </w:r>
          </w:p>
        </w:tc>
        <w:tc>
          <w:tcPr>
            <w:tcW w:w="690" w:type="dxa"/>
            <w:tcBorders>
              <w:top w:val="nil"/>
              <w:left w:val="nil"/>
              <w:bottom w:val="nil"/>
              <w:right w:val="nil"/>
            </w:tcBorders>
            <w:shd w:val="clear" w:color="auto" w:fill="D9D9D9"/>
          </w:tcPr>
          <w:p w:rsidR="00AD71F6" w:rsidRDefault="00AD71F6">
            <w:pPr>
              <w:pStyle w:val="TableParagraph"/>
              <w:kinsoku w:val="0"/>
              <w:overflowPunct w:val="0"/>
              <w:ind w:left="34"/>
              <w:jc w:val="left"/>
              <w:rPr>
                <w:rFonts w:ascii="Times New Roman" w:hAnsi="Times New Roman" w:cs="Times New Roman"/>
              </w:rPr>
            </w:pPr>
            <w:r>
              <w:rPr>
                <w:sz w:val="20"/>
                <w:szCs w:val="20"/>
              </w:rPr>
              <w:t>119%</w:t>
            </w:r>
          </w:p>
        </w:tc>
        <w:tc>
          <w:tcPr>
            <w:tcW w:w="857" w:type="dxa"/>
            <w:tcBorders>
              <w:top w:val="nil"/>
              <w:left w:val="nil"/>
              <w:bottom w:val="single" w:sz="7" w:space="0" w:color="000000"/>
              <w:right w:val="nil"/>
            </w:tcBorders>
          </w:tcPr>
          <w:p w:rsidR="00AD71F6" w:rsidRDefault="00AD71F6">
            <w:pPr>
              <w:pStyle w:val="TableParagraph"/>
              <w:kinsoku w:val="0"/>
              <w:overflowPunct w:val="0"/>
              <w:ind w:left="170" w:right="155"/>
              <w:rPr>
                <w:rFonts w:ascii="Times New Roman" w:hAnsi="Times New Roman" w:cs="Times New Roman"/>
              </w:rPr>
            </w:pPr>
            <w:r>
              <w:rPr>
                <w:sz w:val="20"/>
                <w:szCs w:val="20"/>
              </w:rPr>
              <w:t>280</w:t>
            </w:r>
          </w:p>
        </w:tc>
        <w:tc>
          <w:tcPr>
            <w:tcW w:w="856" w:type="dxa"/>
            <w:tcBorders>
              <w:top w:val="nil"/>
              <w:left w:val="nil"/>
              <w:bottom w:val="single" w:sz="7" w:space="0" w:color="000000"/>
              <w:right w:val="single" w:sz="7" w:space="0" w:color="000000"/>
            </w:tcBorders>
          </w:tcPr>
          <w:p w:rsidR="00AD71F6" w:rsidRDefault="00AD71F6">
            <w:pPr>
              <w:pStyle w:val="TableParagraph"/>
              <w:kinsoku w:val="0"/>
              <w:overflowPunct w:val="0"/>
              <w:ind w:right="276"/>
              <w:jc w:val="right"/>
              <w:rPr>
                <w:rFonts w:ascii="Times New Roman" w:hAnsi="Times New Roman" w:cs="Times New Roman"/>
              </w:rPr>
            </w:pPr>
            <w:r>
              <w:rPr>
                <w:w w:val="95"/>
                <w:sz w:val="20"/>
                <w:szCs w:val="20"/>
              </w:rPr>
              <w:t>360</w:t>
            </w:r>
          </w:p>
        </w:tc>
        <w:tc>
          <w:tcPr>
            <w:tcW w:w="857"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ind w:left="42" w:right="23"/>
              <w:rPr>
                <w:rFonts w:ascii="Times New Roman" w:hAnsi="Times New Roman" w:cs="Times New Roman"/>
              </w:rPr>
            </w:pPr>
            <w:r>
              <w:rPr>
                <w:sz w:val="20"/>
                <w:szCs w:val="20"/>
              </w:rPr>
              <w:t>193</w:t>
            </w:r>
          </w:p>
        </w:tc>
      </w:tr>
    </w:tbl>
    <w:p w:rsidR="00AD71F6" w:rsidRDefault="00AD71F6" w:rsidP="00AD71F6">
      <w:pPr>
        <w:pStyle w:val="BodyText"/>
        <w:kinsoku w:val="0"/>
        <w:overflowPunct w:val="0"/>
        <w:spacing w:before="25"/>
        <w:ind w:left="124"/>
      </w:pPr>
      <w:r>
        <w:t>* 90%, 70%, 50%, 30% &amp; 10% exceedance probabilities are the chance that observed streamflow volume will exceed the forecasted volume</w:t>
      </w:r>
    </w:p>
    <w:p w:rsidR="00AD71F6" w:rsidRDefault="00AD71F6" w:rsidP="00AD71F6">
      <w:pPr>
        <w:pStyle w:val="BodyText"/>
        <w:kinsoku w:val="0"/>
        <w:overflowPunct w:val="0"/>
        <w:spacing w:before="33"/>
        <w:ind w:left="124"/>
      </w:pPr>
      <w:r>
        <w:t>2) Forecasts are for unimpaired flows. Actual flow will be dependent on management of upstream reservoirs and diversions</w:t>
      </w:r>
    </w:p>
    <w:p w:rsidR="00AD71F6" w:rsidRDefault="00AD71F6" w:rsidP="00AD71F6">
      <w:pPr>
        <w:pStyle w:val="BodyText"/>
        <w:kinsoku w:val="0"/>
        <w:overflowPunct w:val="0"/>
        <w:spacing w:before="117"/>
        <w:ind w:left="1914"/>
        <w:rPr>
          <w:sz w:val="24"/>
        </w:rPr>
      </w:pPr>
      <w:bookmarkStart w:id="4" w:name="82_WSOR_2017_Jan"/>
      <w:bookmarkEnd w:id="4"/>
    </w:p>
    <w:p w:rsidR="00AD71F6" w:rsidRDefault="00AD71F6" w:rsidP="00AD71F6">
      <w:pPr>
        <w:pStyle w:val="BodyText"/>
        <w:kinsoku w:val="0"/>
        <w:overflowPunct w:val="0"/>
        <w:spacing w:before="117"/>
        <w:ind w:left="1914"/>
        <w:rPr>
          <w:sz w:val="24"/>
        </w:rPr>
      </w:pPr>
    </w:p>
    <w:p w:rsidR="00AD71F6" w:rsidRDefault="00AD71F6" w:rsidP="00AD71F6">
      <w:pPr>
        <w:pStyle w:val="BodyText"/>
        <w:kinsoku w:val="0"/>
        <w:overflowPunct w:val="0"/>
        <w:spacing w:before="117"/>
        <w:ind w:left="1914"/>
        <w:rPr>
          <w:sz w:val="24"/>
        </w:rPr>
      </w:pPr>
    </w:p>
    <w:p w:rsidR="00AD71F6" w:rsidRDefault="00AD71F6" w:rsidP="00AD71F6">
      <w:pPr>
        <w:pStyle w:val="BodyText"/>
        <w:kinsoku w:val="0"/>
        <w:overflowPunct w:val="0"/>
        <w:spacing w:before="117"/>
        <w:ind w:left="1914"/>
        <w:rPr>
          <w:sz w:val="24"/>
        </w:rPr>
      </w:pPr>
    </w:p>
    <w:p w:rsidR="00AD71F6" w:rsidRDefault="00AD71F6" w:rsidP="00AD71F6">
      <w:pPr>
        <w:pStyle w:val="BodyText"/>
        <w:kinsoku w:val="0"/>
        <w:overflowPunct w:val="0"/>
        <w:spacing w:before="117"/>
        <w:ind w:left="1914"/>
        <w:rPr>
          <w:sz w:val="24"/>
        </w:rPr>
      </w:pPr>
    </w:p>
    <w:p w:rsidR="00AD71F6" w:rsidRDefault="00AD71F6" w:rsidP="00AD71F6">
      <w:pPr>
        <w:pStyle w:val="BodyText"/>
        <w:kinsoku w:val="0"/>
        <w:overflowPunct w:val="0"/>
        <w:spacing w:before="117"/>
        <w:ind w:left="1914"/>
        <w:rPr>
          <w:sz w:val="24"/>
        </w:rPr>
      </w:pPr>
    </w:p>
    <w:p w:rsidR="00AD71F6" w:rsidRDefault="00AD71F6" w:rsidP="00AD71F6">
      <w:pPr>
        <w:pStyle w:val="BodyText"/>
        <w:kinsoku w:val="0"/>
        <w:overflowPunct w:val="0"/>
        <w:spacing w:before="117"/>
        <w:ind w:left="1914"/>
        <w:rPr>
          <w:sz w:val="24"/>
        </w:rPr>
      </w:pPr>
    </w:p>
    <w:p w:rsidR="00AD71F6" w:rsidRPr="00AD71F6" w:rsidRDefault="00AD71F6" w:rsidP="00AD71F6">
      <w:pPr>
        <w:pStyle w:val="BodyText"/>
        <w:kinsoku w:val="0"/>
        <w:overflowPunct w:val="0"/>
        <w:spacing w:before="117"/>
        <w:ind w:left="1914"/>
        <w:rPr>
          <w:sz w:val="24"/>
        </w:rPr>
      </w:pPr>
      <w:r w:rsidRPr="00AD71F6">
        <w:rPr>
          <w:sz w:val="24"/>
        </w:rPr>
        <w:t>Rogue And Umpqua Basins Summary for January 1, 2017</w:t>
      </w:r>
    </w:p>
    <w:p w:rsidR="00AD71F6" w:rsidRPr="00AD71F6" w:rsidRDefault="00AD71F6" w:rsidP="00AD71F6">
      <w:pPr>
        <w:pStyle w:val="BodyText"/>
        <w:kinsoku w:val="0"/>
        <w:overflowPunct w:val="0"/>
        <w:rPr>
          <w:sz w:val="24"/>
        </w:rPr>
      </w:pPr>
    </w:p>
    <w:p w:rsidR="00AD71F6" w:rsidRDefault="00AD71F6" w:rsidP="00AD71F6">
      <w:pPr>
        <w:pStyle w:val="BodyText"/>
        <w:kinsoku w:val="0"/>
        <w:overflowPunct w:val="0"/>
        <w:spacing w:before="9"/>
        <w:rPr>
          <w:sz w:val="11"/>
          <w:szCs w:val="11"/>
        </w:rPr>
      </w:pPr>
    </w:p>
    <w:tbl>
      <w:tblPr>
        <w:tblW w:w="0" w:type="auto"/>
        <w:tblInd w:w="103" w:type="dxa"/>
        <w:tblLayout w:type="fixed"/>
        <w:tblCellMar>
          <w:left w:w="0" w:type="dxa"/>
          <w:right w:w="0" w:type="dxa"/>
        </w:tblCellMar>
        <w:tblLook w:val="0000" w:firstRow="0" w:lastRow="0" w:firstColumn="0" w:lastColumn="0" w:noHBand="0" w:noVBand="0"/>
      </w:tblPr>
      <w:tblGrid>
        <w:gridCol w:w="3473"/>
        <w:gridCol w:w="1039"/>
        <w:gridCol w:w="1137"/>
        <w:gridCol w:w="949"/>
        <w:gridCol w:w="914"/>
        <w:gridCol w:w="935"/>
      </w:tblGrid>
      <w:tr w:rsidR="00AD71F6">
        <w:tblPrEx>
          <w:tblCellMar>
            <w:top w:w="0" w:type="dxa"/>
            <w:left w:w="0" w:type="dxa"/>
            <w:bottom w:w="0" w:type="dxa"/>
            <w:right w:w="0" w:type="dxa"/>
          </w:tblCellMar>
        </w:tblPrEx>
        <w:trPr>
          <w:trHeight w:hRule="exact" w:val="797"/>
        </w:trPr>
        <w:tc>
          <w:tcPr>
            <w:tcW w:w="3473" w:type="dxa"/>
            <w:tcBorders>
              <w:top w:val="single" w:sz="7" w:space="0" w:color="000000"/>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1"/>
              <w:ind w:left="844"/>
              <w:jc w:val="left"/>
              <w:rPr>
                <w:rFonts w:ascii="Times New Roman" w:hAnsi="Times New Roman" w:cs="Times New Roman"/>
              </w:rPr>
            </w:pPr>
            <w:r>
              <w:rPr>
                <w:b/>
                <w:bCs/>
                <w:sz w:val="20"/>
                <w:szCs w:val="20"/>
              </w:rPr>
              <w:t>Reservoir</w:t>
            </w:r>
            <w:r>
              <w:rPr>
                <w:b/>
                <w:bCs/>
                <w:spacing w:val="52"/>
                <w:sz w:val="20"/>
                <w:szCs w:val="20"/>
              </w:rPr>
              <w:t xml:space="preserve"> </w:t>
            </w:r>
            <w:r>
              <w:rPr>
                <w:b/>
                <w:bCs/>
                <w:sz w:val="20"/>
                <w:szCs w:val="20"/>
              </w:rPr>
              <w:t>Storage</w:t>
            </w:r>
          </w:p>
        </w:tc>
        <w:tc>
          <w:tcPr>
            <w:tcW w:w="1039" w:type="dxa"/>
            <w:tcBorders>
              <w:top w:val="single" w:sz="7" w:space="0" w:color="000000"/>
              <w:left w:val="single" w:sz="7" w:space="0" w:color="000000"/>
              <w:bottom w:val="single" w:sz="7" w:space="0" w:color="000000"/>
              <w:right w:val="nil"/>
            </w:tcBorders>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1" w:line="268" w:lineRule="auto"/>
              <w:ind w:left="257" w:hanging="92"/>
              <w:jc w:val="left"/>
              <w:rPr>
                <w:rFonts w:ascii="Times New Roman" w:hAnsi="Times New Roman" w:cs="Times New Roman"/>
              </w:rPr>
            </w:pPr>
            <w:r>
              <w:rPr>
                <w:b/>
                <w:bCs/>
                <w:w w:val="95"/>
                <w:sz w:val="20"/>
                <w:szCs w:val="20"/>
              </w:rPr>
              <w:t xml:space="preserve">Current </w:t>
            </w:r>
            <w:r>
              <w:rPr>
                <w:b/>
                <w:bCs/>
                <w:sz w:val="20"/>
                <w:szCs w:val="20"/>
              </w:rPr>
              <w:t>(KAF)</w:t>
            </w:r>
          </w:p>
        </w:tc>
        <w:tc>
          <w:tcPr>
            <w:tcW w:w="1137" w:type="dxa"/>
            <w:tcBorders>
              <w:top w:val="single" w:sz="7" w:space="0" w:color="000000"/>
              <w:left w:val="nil"/>
              <w:bottom w:val="single" w:sz="7" w:space="0" w:color="000000"/>
              <w:right w:val="nil"/>
            </w:tcBorders>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1" w:line="268" w:lineRule="auto"/>
              <w:ind w:left="324" w:right="72" w:hanging="180"/>
              <w:jc w:val="left"/>
              <w:rPr>
                <w:rFonts w:ascii="Times New Roman" w:hAnsi="Times New Roman" w:cs="Times New Roman"/>
              </w:rPr>
            </w:pPr>
            <w:r>
              <w:rPr>
                <w:b/>
                <w:bCs/>
                <w:sz w:val="20"/>
                <w:szCs w:val="20"/>
              </w:rPr>
              <w:t>Last Year (KAF)</w:t>
            </w:r>
          </w:p>
        </w:tc>
        <w:tc>
          <w:tcPr>
            <w:tcW w:w="949" w:type="dxa"/>
            <w:tcBorders>
              <w:top w:val="single" w:sz="7" w:space="0" w:color="000000"/>
              <w:left w:val="nil"/>
              <w:bottom w:val="single" w:sz="7" w:space="0" w:color="000000"/>
              <w:right w:val="nil"/>
            </w:tcBorders>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1" w:line="268" w:lineRule="auto"/>
              <w:ind w:left="217" w:hanging="123"/>
              <w:jc w:val="left"/>
              <w:rPr>
                <w:rFonts w:ascii="Times New Roman" w:hAnsi="Times New Roman" w:cs="Times New Roman"/>
              </w:rPr>
            </w:pPr>
            <w:r>
              <w:rPr>
                <w:b/>
                <w:bCs/>
                <w:w w:val="95"/>
                <w:sz w:val="20"/>
                <w:szCs w:val="20"/>
              </w:rPr>
              <w:t xml:space="preserve">Average </w:t>
            </w:r>
            <w:r>
              <w:rPr>
                <w:b/>
                <w:bCs/>
                <w:sz w:val="20"/>
                <w:szCs w:val="20"/>
              </w:rPr>
              <w:t>(KAF)</w:t>
            </w:r>
          </w:p>
        </w:tc>
        <w:tc>
          <w:tcPr>
            <w:tcW w:w="914" w:type="dxa"/>
            <w:tcBorders>
              <w:top w:val="single" w:sz="7" w:space="0" w:color="000000"/>
              <w:left w:val="nil"/>
              <w:bottom w:val="single" w:sz="7" w:space="0" w:color="000000"/>
              <w:right w:val="nil"/>
            </w:tcBorders>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1" w:line="268" w:lineRule="auto"/>
              <w:ind w:left="73" w:firstLine="180"/>
              <w:jc w:val="left"/>
              <w:rPr>
                <w:rFonts w:ascii="Times New Roman" w:hAnsi="Times New Roman" w:cs="Times New Roman"/>
              </w:rPr>
            </w:pPr>
            <w:r>
              <w:rPr>
                <w:b/>
                <w:bCs/>
                <w:sz w:val="20"/>
                <w:szCs w:val="20"/>
              </w:rPr>
              <w:t xml:space="preserve">% of </w:t>
            </w:r>
            <w:r>
              <w:rPr>
                <w:b/>
                <w:bCs/>
                <w:w w:val="95"/>
                <w:sz w:val="20"/>
                <w:szCs w:val="20"/>
              </w:rPr>
              <w:t>Average</w:t>
            </w:r>
          </w:p>
        </w:tc>
        <w:tc>
          <w:tcPr>
            <w:tcW w:w="935" w:type="dxa"/>
            <w:tcBorders>
              <w:top w:val="single" w:sz="7" w:space="0" w:color="000000"/>
              <w:left w:val="nil"/>
              <w:bottom w:val="single" w:sz="7" w:space="0" w:color="000000"/>
              <w:right w:val="single" w:sz="7" w:space="0" w:color="000000"/>
            </w:tcBorders>
          </w:tcPr>
          <w:p w:rsidR="00AD71F6" w:rsidRDefault="00AD71F6">
            <w:pPr>
              <w:pStyle w:val="TableParagraph"/>
              <w:kinsoku w:val="0"/>
              <w:overflowPunct w:val="0"/>
              <w:spacing w:before="16" w:line="268" w:lineRule="auto"/>
              <w:ind w:left="61" w:right="32"/>
              <w:rPr>
                <w:rFonts w:ascii="Times New Roman" w:hAnsi="Times New Roman" w:cs="Times New Roman"/>
              </w:rPr>
            </w:pPr>
            <w:r>
              <w:rPr>
                <w:b/>
                <w:bCs/>
                <w:sz w:val="20"/>
                <w:szCs w:val="20"/>
              </w:rPr>
              <w:t xml:space="preserve">Useable </w:t>
            </w:r>
            <w:r>
              <w:rPr>
                <w:b/>
                <w:bCs/>
                <w:w w:val="95"/>
                <w:sz w:val="20"/>
                <w:szCs w:val="20"/>
              </w:rPr>
              <w:t xml:space="preserve">Capacity </w:t>
            </w:r>
            <w:r>
              <w:rPr>
                <w:b/>
                <w:bCs/>
                <w:sz w:val="20"/>
                <w:szCs w:val="20"/>
              </w:rPr>
              <w:t>(KAF)</w:t>
            </w:r>
          </w:p>
        </w:tc>
      </w:tr>
      <w:tr w:rsidR="00AD71F6">
        <w:tblPrEx>
          <w:tblCellMar>
            <w:top w:w="0" w:type="dxa"/>
            <w:left w:w="0" w:type="dxa"/>
            <w:bottom w:w="0" w:type="dxa"/>
            <w:right w:w="0" w:type="dxa"/>
          </w:tblCellMar>
        </w:tblPrEx>
        <w:trPr>
          <w:trHeight w:hRule="exact" w:val="275"/>
        </w:trPr>
        <w:tc>
          <w:tcPr>
            <w:tcW w:w="3473"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ind w:right="25"/>
              <w:jc w:val="right"/>
              <w:rPr>
                <w:rFonts w:ascii="Times New Roman" w:hAnsi="Times New Roman" w:cs="Times New Roman"/>
              </w:rPr>
            </w:pPr>
            <w:r>
              <w:rPr>
                <w:sz w:val="20"/>
                <w:szCs w:val="20"/>
              </w:rPr>
              <w:t>Applegate</w:t>
            </w:r>
          </w:p>
        </w:tc>
        <w:tc>
          <w:tcPr>
            <w:tcW w:w="1039" w:type="dxa"/>
            <w:tcBorders>
              <w:top w:val="single" w:sz="7" w:space="0" w:color="000000"/>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9.4</w:t>
            </w:r>
          </w:p>
        </w:tc>
        <w:tc>
          <w:tcPr>
            <w:tcW w:w="1137" w:type="dxa"/>
            <w:tcBorders>
              <w:top w:val="single" w:sz="7" w:space="0" w:color="000000"/>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6.8</w:t>
            </w:r>
          </w:p>
        </w:tc>
        <w:tc>
          <w:tcPr>
            <w:tcW w:w="949" w:type="dxa"/>
            <w:tcBorders>
              <w:top w:val="single" w:sz="7" w:space="0" w:color="000000"/>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10.2</w:t>
            </w:r>
          </w:p>
        </w:tc>
        <w:tc>
          <w:tcPr>
            <w:tcW w:w="914" w:type="dxa"/>
            <w:tcBorders>
              <w:top w:val="single" w:sz="7" w:space="0" w:color="000000"/>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92%</w:t>
            </w:r>
          </w:p>
        </w:tc>
        <w:tc>
          <w:tcPr>
            <w:tcW w:w="935" w:type="dxa"/>
            <w:tcBorders>
              <w:top w:val="single" w:sz="7" w:space="0" w:color="000000"/>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75.2</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Emigrant Lake</w:t>
            </w:r>
          </w:p>
        </w:tc>
        <w:tc>
          <w:tcPr>
            <w:tcW w:w="1039" w:type="dxa"/>
            <w:tcBorders>
              <w:top w:val="nil"/>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16.1</w:t>
            </w:r>
          </w:p>
        </w:tc>
        <w:tc>
          <w:tcPr>
            <w:tcW w:w="1137" w:type="dxa"/>
            <w:tcBorders>
              <w:top w:val="nil"/>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8.0</w:t>
            </w:r>
          </w:p>
        </w:tc>
        <w:tc>
          <w:tcPr>
            <w:tcW w:w="949" w:type="dxa"/>
            <w:tcBorders>
              <w:top w:val="nil"/>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17.2</w:t>
            </w:r>
          </w:p>
        </w:tc>
        <w:tc>
          <w:tcPr>
            <w:tcW w:w="914" w:type="dxa"/>
            <w:tcBorders>
              <w:top w:val="nil"/>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94%</w:t>
            </w:r>
          </w:p>
        </w:tc>
        <w:tc>
          <w:tcPr>
            <w:tcW w:w="935" w:type="dxa"/>
            <w:tcBorders>
              <w:top w:val="nil"/>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39.0</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Fish Lake</w:t>
            </w:r>
          </w:p>
        </w:tc>
        <w:tc>
          <w:tcPr>
            <w:tcW w:w="1039" w:type="dxa"/>
            <w:tcBorders>
              <w:top w:val="nil"/>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3.7</w:t>
            </w:r>
          </w:p>
        </w:tc>
        <w:tc>
          <w:tcPr>
            <w:tcW w:w="1137" w:type="dxa"/>
            <w:tcBorders>
              <w:top w:val="nil"/>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2.5</w:t>
            </w:r>
          </w:p>
        </w:tc>
        <w:tc>
          <w:tcPr>
            <w:tcW w:w="949" w:type="dxa"/>
            <w:tcBorders>
              <w:top w:val="nil"/>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4.7</w:t>
            </w:r>
          </w:p>
        </w:tc>
        <w:tc>
          <w:tcPr>
            <w:tcW w:w="914" w:type="dxa"/>
            <w:tcBorders>
              <w:top w:val="nil"/>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79%</w:t>
            </w:r>
          </w:p>
        </w:tc>
        <w:tc>
          <w:tcPr>
            <w:tcW w:w="935" w:type="dxa"/>
            <w:tcBorders>
              <w:top w:val="nil"/>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7.9</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Fourmile Lake</w:t>
            </w:r>
          </w:p>
        </w:tc>
        <w:tc>
          <w:tcPr>
            <w:tcW w:w="1039" w:type="dxa"/>
            <w:tcBorders>
              <w:top w:val="nil"/>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2.8</w:t>
            </w:r>
          </w:p>
        </w:tc>
        <w:tc>
          <w:tcPr>
            <w:tcW w:w="1137" w:type="dxa"/>
            <w:tcBorders>
              <w:top w:val="nil"/>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2.6</w:t>
            </w:r>
          </w:p>
        </w:tc>
        <w:tc>
          <w:tcPr>
            <w:tcW w:w="949" w:type="dxa"/>
            <w:tcBorders>
              <w:top w:val="nil"/>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6.7</w:t>
            </w:r>
          </w:p>
        </w:tc>
        <w:tc>
          <w:tcPr>
            <w:tcW w:w="914" w:type="dxa"/>
            <w:tcBorders>
              <w:top w:val="nil"/>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41%</w:t>
            </w:r>
          </w:p>
        </w:tc>
        <w:tc>
          <w:tcPr>
            <w:tcW w:w="935" w:type="dxa"/>
            <w:tcBorders>
              <w:top w:val="nil"/>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15.6</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Howard Prairie</w:t>
            </w:r>
          </w:p>
        </w:tc>
        <w:tc>
          <w:tcPr>
            <w:tcW w:w="1039" w:type="dxa"/>
            <w:tcBorders>
              <w:top w:val="nil"/>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30.0</w:t>
            </w:r>
          </w:p>
        </w:tc>
        <w:tc>
          <w:tcPr>
            <w:tcW w:w="1137" w:type="dxa"/>
            <w:tcBorders>
              <w:top w:val="nil"/>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10.3</w:t>
            </w:r>
          </w:p>
        </w:tc>
        <w:tc>
          <w:tcPr>
            <w:tcW w:w="949" w:type="dxa"/>
            <w:tcBorders>
              <w:top w:val="nil"/>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35.5</w:t>
            </w:r>
          </w:p>
        </w:tc>
        <w:tc>
          <w:tcPr>
            <w:tcW w:w="914" w:type="dxa"/>
            <w:tcBorders>
              <w:top w:val="nil"/>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85%</w:t>
            </w:r>
          </w:p>
        </w:tc>
        <w:tc>
          <w:tcPr>
            <w:tcW w:w="935" w:type="dxa"/>
            <w:tcBorders>
              <w:top w:val="nil"/>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62.1</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Hyatt Prairie</w:t>
            </w:r>
          </w:p>
        </w:tc>
        <w:tc>
          <w:tcPr>
            <w:tcW w:w="1039" w:type="dxa"/>
            <w:tcBorders>
              <w:top w:val="nil"/>
              <w:left w:val="single" w:sz="7" w:space="0" w:color="000000"/>
              <w:bottom w:val="nil"/>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8.2</w:t>
            </w:r>
          </w:p>
        </w:tc>
        <w:tc>
          <w:tcPr>
            <w:tcW w:w="1137" w:type="dxa"/>
            <w:tcBorders>
              <w:top w:val="nil"/>
              <w:left w:val="nil"/>
              <w:bottom w:val="nil"/>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2.0</w:t>
            </w:r>
          </w:p>
        </w:tc>
        <w:tc>
          <w:tcPr>
            <w:tcW w:w="949" w:type="dxa"/>
            <w:tcBorders>
              <w:top w:val="nil"/>
              <w:left w:val="nil"/>
              <w:bottom w:val="nil"/>
              <w:right w:val="nil"/>
            </w:tcBorders>
          </w:tcPr>
          <w:p w:rsidR="00AD71F6" w:rsidRDefault="00AD71F6">
            <w:pPr>
              <w:pStyle w:val="TableParagraph"/>
              <w:kinsoku w:val="0"/>
              <w:overflowPunct w:val="0"/>
              <w:ind w:left="218" w:right="187"/>
              <w:rPr>
                <w:rFonts w:ascii="Times New Roman" w:hAnsi="Times New Roman" w:cs="Times New Roman"/>
              </w:rPr>
            </w:pPr>
            <w:r>
              <w:rPr>
                <w:sz w:val="20"/>
                <w:szCs w:val="20"/>
              </w:rPr>
              <w:t>9.6</w:t>
            </w:r>
          </w:p>
        </w:tc>
        <w:tc>
          <w:tcPr>
            <w:tcW w:w="914" w:type="dxa"/>
            <w:tcBorders>
              <w:top w:val="nil"/>
              <w:left w:val="nil"/>
              <w:bottom w:val="nil"/>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85%</w:t>
            </w:r>
          </w:p>
        </w:tc>
        <w:tc>
          <w:tcPr>
            <w:tcW w:w="935" w:type="dxa"/>
            <w:tcBorders>
              <w:top w:val="nil"/>
              <w:left w:val="nil"/>
              <w:bottom w:val="nil"/>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16.2</w:t>
            </w:r>
          </w:p>
        </w:tc>
      </w:tr>
      <w:tr w:rsidR="00AD71F6">
        <w:tblPrEx>
          <w:tblCellMar>
            <w:top w:w="0" w:type="dxa"/>
            <w:left w:w="0" w:type="dxa"/>
            <w:bottom w:w="0" w:type="dxa"/>
            <w:right w:w="0" w:type="dxa"/>
          </w:tblCellMar>
        </w:tblPrEx>
        <w:trPr>
          <w:trHeight w:hRule="exact" w:val="257"/>
        </w:trPr>
        <w:tc>
          <w:tcPr>
            <w:tcW w:w="3473"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ind w:right="30"/>
              <w:jc w:val="right"/>
              <w:rPr>
                <w:rFonts w:ascii="Times New Roman" w:hAnsi="Times New Roman" w:cs="Times New Roman"/>
              </w:rPr>
            </w:pPr>
            <w:r>
              <w:rPr>
                <w:sz w:val="20"/>
                <w:szCs w:val="20"/>
              </w:rPr>
              <w:t>Lost Creek</w:t>
            </w:r>
          </w:p>
        </w:tc>
        <w:tc>
          <w:tcPr>
            <w:tcW w:w="1039" w:type="dxa"/>
            <w:tcBorders>
              <w:top w:val="nil"/>
              <w:left w:val="single" w:sz="7" w:space="0" w:color="000000"/>
              <w:bottom w:val="single" w:sz="7" w:space="0" w:color="000000"/>
              <w:right w:val="nil"/>
            </w:tcBorders>
          </w:tcPr>
          <w:p w:rsidR="00AD71F6" w:rsidRDefault="00AD71F6">
            <w:pPr>
              <w:pStyle w:val="TableParagraph"/>
              <w:kinsoku w:val="0"/>
              <w:overflowPunct w:val="0"/>
              <w:ind w:left="261" w:right="226"/>
              <w:rPr>
                <w:rFonts w:ascii="Times New Roman" w:hAnsi="Times New Roman" w:cs="Times New Roman"/>
              </w:rPr>
            </w:pPr>
            <w:r>
              <w:rPr>
                <w:sz w:val="20"/>
                <w:szCs w:val="20"/>
              </w:rPr>
              <w:t>125.0</w:t>
            </w:r>
          </w:p>
        </w:tc>
        <w:tc>
          <w:tcPr>
            <w:tcW w:w="1137" w:type="dxa"/>
            <w:tcBorders>
              <w:top w:val="nil"/>
              <w:left w:val="nil"/>
              <w:bottom w:val="single" w:sz="7" w:space="0" w:color="000000"/>
              <w:right w:val="nil"/>
            </w:tcBorders>
          </w:tcPr>
          <w:p w:rsidR="00AD71F6" w:rsidRDefault="00AD71F6">
            <w:pPr>
              <w:pStyle w:val="TableParagraph"/>
              <w:kinsoku w:val="0"/>
              <w:overflowPunct w:val="0"/>
              <w:ind w:left="329" w:right="267"/>
              <w:rPr>
                <w:rFonts w:ascii="Times New Roman" w:hAnsi="Times New Roman" w:cs="Times New Roman"/>
              </w:rPr>
            </w:pPr>
            <w:r>
              <w:rPr>
                <w:sz w:val="20"/>
                <w:szCs w:val="20"/>
              </w:rPr>
              <w:t>126.4</w:t>
            </w:r>
          </w:p>
        </w:tc>
        <w:tc>
          <w:tcPr>
            <w:tcW w:w="949" w:type="dxa"/>
            <w:tcBorders>
              <w:top w:val="nil"/>
              <w:left w:val="nil"/>
              <w:bottom w:val="single" w:sz="7" w:space="0" w:color="000000"/>
              <w:right w:val="nil"/>
            </w:tcBorders>
          </w:tcPr>
          <w:p w:rsidR="00AD71F6" w:rsidRDefault="00AD71F6">
            <w:pPr>
              <w:pStyle w:val="TableParagraph"/>
              <w:kinsoku w:val="0"/>
              <w:overflowPunct w:val="0"/>
              <w:ind w:left="218" w:right="188"/>
              <w:rPr>
                <w:rFonts w:ascii="Times New Roman" w:hAnsi="Times New Roman" w:cs="Times New Roman"/>
              </w:rPr>
            </w:pPr>
            <w:r>
              <w:rPr>
                <w:sz w:val="20"/>
                <w:szCs w:val="20"/>
              </w:rPr>
              <w:t>137.6</w:t>
            </w:r>
          </w:p>
        </w:tc>
        <w:tc>
          <w:tcPr>
            <w:tcW w:w="914" w:type="dxa"/>
            <w:tcBorders>
              <w:top w:val="nil"/>
              <w:left w:val="nil"/>
              <w:bottom w:val="single" w:sz="7" w:space="0" w:color="000000"/>
              <w:right w:val="nil"/>
            </w:tcBorders>
          </w:tcPr>
          <w:p w:rsidR="00AD71F6" w:rsidRDefault="00AD71F6">
            <w:pPr>
              <w:pStyle w:val="TableParagraph"/>
              <w:kinsoku w:val="0"/>
              <w:overflowPunct w:val="0"/>
              <w:ind w:left="248" w:right="225"/>
              <w:rPr>
                <w:rFonts w:ascii="Times New Roman" w:hAnsi="Times New Roman" w:cs="Times New Roman"/>
              </w:rPr>
            </w:pPr>
            <w:r>
              <w:rPr>
                <w:sz w:val="20"/>
                <w:szCs w:val="20"/>
              </w:rPr>
              <w:t>91%</w:t>
            </w:r>
          </w:p>
        </w:tc>
        <w:tc>
          <w:tcPr>
            <w:tcW w:w="935" w:type="dxa"/>
            <w:tcBorders>
              <w:top w:val="nil"/>
              <w:left w:val="nil"/>
              <w:bottom w:val="single" w:sz="7" w:space="0" w:color="000000"/>
              <w:right w:val="single" w:sz="7" w:space="0" w:color="000000"/>
            </w:tcBorders>
          </w:tcPr>
          <w:p w:rsidR="00AD71F6" w:rsidRDefault="00AD71F6">
            <w:pPr>
              <w:pStyle w:val="TableParagraph"/>
              <w:kinsoku w:val="0"/>
              <w:overflowPunct w:val="0"/>
              <w:ind w:left="61"/>
              <w:rPr>
                <w:rFonts w:ascii="Times New Roman" w:hAnsi="Times New Roman" w:cs="Times New Roman"/>
              </w:rPr>
            </w:pPr>
            <w:r>
              <w:rPr>
                <w:sz w:val="20"/>
                <w:szCs w:val="20"/>
              </w:rPr>
              <w:t>315.0</w:t>
            </w:r>
          </w:p>
        </w:tc>
      </w:tr>
    </w:tbl>
    <w:p w:rsidR="00AD71F6" w:rsidRDefault="00AD71F6" w:rsidP="00AD71F6">
      <w:pPr>
        <w:pStyle w:val="BodyText"/>
        <w:kinsoku w:val="0"/>
        <w:overflowPunct w:val="0"/>
        <w:spacing w:after="1"/>
        <w:rPr>
          <w:sz w:val="21"/>
          <w:szCs w:val="21"/>
        </w:rPr>
      </w:pPr>
    </w:p>
    <w:tbl>
      <w:tblPr>
        <w:tblW w:w="0" w:type="auto"/>
        <w:tblInd w:w="103" w:type="dxa"/>
        <w:tblLayout w:type="fixed"/>
        <w:tblCellMar>
          <w:left w:w="0" w:type="dxa"/>
          <w:right w:w="0" w:type="dxa"/>
        </w:tblCellMar>
        <w:tblLook w:val="0000" w:firstRow="0" w:lastRow="0" w:firstColumn="0" w:lastColumn="0" w:noHBand="0" w:noVBand="0"/>
      </w:tblPr>
      <w:tblGrid>
        <w:gridCol w:w="3473"/>
        <w:gridCol w:w="1060"/>
        <w:gridCol w:w="1165"/>
        <w:gridCol w:w="896"/>
      </w:tblGrid>
      <w:tr w:rsidR="00AD71F6">
        <w:tblPrEx>
          <w:tblCellMar>
            <w:top w:w="0" w:type="dxa"/>
            <w:left w:w="0" w:type="dxa"/>
            <w:bottom w:w="0" w:type="dxa"/>
            <w:right w:w="0" w:type="dxa"/>
          </w:tblCellMar>
        </w:tblPrEx>
        <w:trPr>
          <w:trHeight w:hRule="exact" w:val="560"/>
        </w:trPr>
        <w:tc>
          <w:tcPr>
            <w:tcW w:w="3473" w:type="dxa"/>
            <w:vMerge w:val="restart"/>
            <w:tcBorders>
              <w:top w:val="single" w:sz="7" w:space="0" w:color="000000"/>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1"/>
              <w:jc w:val="left"/>
              <w:rPr>
                <w:b/>
                <w:bCs/>
                <w:sz w:val="27"/>
                <w:szCs w:val="27"/>
              </w:rPr>
            </w:pPr>
          </w:p>
          <w:p w:rsidR="00AD71F6" w:rsidRDefault="00AD71F6">
            <w:pPr>
              <w:pStyle w:val="TableParagraph"/>
              <w:kinsoku w:val="0"/>
              <w:overflowPunct w:val="0"/>
              <w:spacing w:before="0"/>
              <w:ind w:left="314"/>
              <w:jc w:val="left"/>
              <w:rPr>
                <w:rFonts w:ascii="Times New Roman" w:hAnsi="Times New Roman" w:cs="Times New Roman"/>
              </w:rPr>
            </w:pPr>
            <w:r>
              <w:rPr>
                <w:b/>
                <w:bCs/>
                <w:sz w:val="20"/>
                <w:szCs w:val="20"/>
              </w:rPr>
              <w:t>Snowpack Summary by Basin</w:t>
            </w:r>
          </w:p>
        </w:tc>
        <w:tc>
          <w:tcPr>
            <w:tcW w:w="1060" w:type="dxa"/>
            <w:tcBorders>
              <w:top w:val="single" w:sz="7" w:space="0" w:color="000000"/>
              <w:left w:val="single" w:sz="7" w:space="0" w:color="000000"/>
              <w:bottom w:val="nil"/>
              <w:right w:val="nil"/>
            </w:tcBorders>
          </w:tcPr>
          <w:p w:rsidR="00AD71F6" w:rsidRDefault="00AD71F6">
            <w:pPr>
              <w:rPr>
                <w:rFonts w:ascii="Times New Roman" w:hAnsi="Times New Roman" w:cs="Times New Roman"/>
              </w:rPr>
            </w:pPr>
          </w:p>
        </w:tc>
        <w:tc>
          <w:tcPr>
            <w:tcW w:w="2061" w:type="dxa"/>
            <w:gridSpan w:val="2"/>
            <w:tcBorders>
              <w:top w:val="single" w:sz="7" w:space="0" w:color="000000"/>
              <w:left w:val="nil"/>
              <w:bottom w:val="nil"/>
              <w:right w:val="single" w:sz="7" w:space="0" w:color="000000"/>
            </w:tcBorders>
          </w:tcPr>
          <w:p w:rsidR="00AD71F6" w:rsidRDefault="00AD71F6">
            <w:pPr>
              <w:pStyle w:val="TableParagraph"/>
              <w:kinsoku w:val="0"/>
              <w:overflowPunct w:val="0"/>
              <w:spacing w:before="4"/>
              <w:ind w:left="248" w:right="173"/>
              <w:rPr>
                <w:b/>
                <w:bCs/>
                <w:sz w:val="20"/>
                <w:szCs w:val="20"/>
              </w:rPr>
            </w:pPr>
            <w:r>
              <w:rPr>
                <w:b/>
                <w:bCs/>
                <w:sz w:val="20"/>
                <w:szCs w:val="20"/>
              </w:rPr>
              <w:t>Basin Snowpack</w:t>
            </w:r>
          </w:p>
          <w:p w:rsidR="00AD71F6" w:rsidRDefault="00AD71F6">
            <w:pPr>
              <w:pStyle w:val="TableParagraph"/>
              <w:kinsoku w:val="0"/>
              <w:overflowPunct w:val="0"/>
              <w:spacing w:before="27"/>
              <w:ind w:left="192" w:right="173"/>
              <w:rPr>
                <w:rFonts w:ascii="Times New Roman" w:hAnsi="Times New Roman" w:cs="Times New Roman"/>
              </w:rPr>
            </w:pPr>
            <w:r>
              <w:rPr>
                <w:b/>
                <w:bCs/>
                <w:sz w:val="20"/>
                <w:szCs w:val="20"/>
              </w:rPr>
              <w:t>% of Median</w:t>
            </w:r>
          </w:p>
        </w:tc>
      </w:tr>
      <w:tr w:rsidR="00AD71F6">
        <w:tblPrEx>
          <w:tblCellMar>
            <w:top w:w="0" w:type="dxa"/>
            <w:left w:w="0" w:type="dxa"/>
            <w:bottom w:w="0" w:type="dxa"/>
            <w:right w:w="0" w:type="dxa"/>
          </w:tblCellMar>
        </w:tblPrEx>
        <w:trPr>
          <w:trHeight w:hRule="exact" w:val="333"/>
        </w:trPr>
        <w:tc>
          <w:tcPr>
            <w:tcW w:w="3473" w:type="dxa"/>
            <w:vMerge/>
            <w:tcBorders>
              <w:top w:val="single" w:sz="7" w:space="0" w:color="000000"/>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27"/>
              <w:ind w:left="192" w:right="173"/>
              <w:rPr>
                <w:rFonts w:ascii="Times New Roman" w:hAnsi="Times New Roman" w:cs="Times New Roman"/>
              </w:rPr>
            </w:pPr>
          </w:p>
        </w:tc>
        <w:tc>
          <w:tcPr>
            <w:tcW w:w="1060" w:type="dxa"/>
            <w:tcBorders>
              <w:top w:val="nil"/>
              <w:left w:val="single" w:sz="7" w:space="0" w:color="000000"/>
              <w:bottom w:val="single" w:sz="7" w:space="0" w:color="000000"/>
              <w:right w:val="nil"/>
            </w:tcBorders>
          </w:tcPr>
          <w:p w:rsidR="00AD71F6" w:rsidRDefault="00AD71F6">
            <w:pPr>
              <w:pStyle w:val="TableParagraph"/>
              <w:kinsoku w:val="0"/>
              <w:overflowPunct w:val="0"/>
              <w:spacing w:before="37"/>
              <w:ind w:left="62" w:right="59"/>
              <w:rPr>
                <w:rFonts w:ascii="Times New Roman" w:hAnsi="Times New Roman" w:cs="Times New Roman"/>
              </w:rPr>
            </w:pPr>
            <w:r>
              <w:rPr>
                <w:b/>
                <w:bCs/>
                <w:sz w:val="20"/>
                <w:szCs w:val="20"/>
              </w:rPr>
              <w:t># of Sites</w:t>
            </w:r>
          </w:p>
        </w:tc>
        <w:tc>
          <w:tcPr>
            <w:tcW w:w="1165" w:type="dxa"/>
            <w:tcBorders>
              <w:top w:val="nil"/>
              <w:left w:val="nil"/>
              <w:bottom w:val="single" w:sz="7" w:space="0" w:color="000000"/>
              <w:right w:val="nil"/>
            </w:tcBorders>
          </w:tcPr>
          <w:p w:rsidR="00AD71F6" w:rsidRDefault="00AD71F6">
            <w:pPr>
              <w:pStyle w:val="TableParagraph"/>
              <w:kinsoku w:val="0"/>
              <w:overflowPunct w:val="0"/>
              <w:spacing w:before="37"/>
              <w:ind w:left="60" w:right="74"/>
              <w:rPr>
                <w:rFonts w:ascii="Times New Roman" w:hAnsi="Times New Roman" w:cs="Times New Roman"/>
              </w:rPr>
            </w:pPr>
            <w:r>
              <w:rPr>
                <w:b/>
                <w:bCs/>
                <w:sz w:val="20"/>
                <w:szCs w:val="20"/>
              </w:rPr>
              <w:t>Current Yr</w:t>
            </w:r>
          </w:p>
        </w:tc>
        <w:tc>
          <w:tcPr>
            <w:tcW w:w="896" w:type="dxa"/>
            <w:tcBorders>
              <w:top w:val="nil"/>
              <w:left w:val="nil"/>
              <w:bottom w:val="single" w:sz="7" w:space="0" w:color="000000"/>
              <w:right w:val="single" w:sz="7" w:space="0" w:color="000000"/>
            </w:tcBorders>
          </w:tcPr>
          <w:p w:rsidR="00AD71F6" w:rsidRDefault="00AD71F6">
            <w:pPr>
              <w:pStyle w:val="TableParagraph"/>
              <w:kinsoku w:val="0"/>
              <w:overflowPunct w:val="0"/>
              <w:spacing w:before="37"/>
              <w:ind w:left="77" w:right="91"/>
              <w:rPr>
                <w:rFonts w:ascii="Times New Roman" w:hAnsi="Times New Roman" w:cs="Times New Roman"/>
              </w:rPr>
            </w:pPr>
            <w:r>
              <w:rPr>
                <w:b/>
                <w:bCs/>
                <w:sz w:val="20"/>
                <w:szCs w:val="20"/>
              </w:rPr>
              <w:t>Last Yr</w:t>
            </w:r>
          </w:p>
        </w:tc>
      </w:tr>
      <w:tr w:rsidR="00AD71F6">
        <w:tblPrEx>
          <w:tblCellMar>
            <w:top w:w="0" w:type="dxa"/>
            <w:left w:w="0" w:type="dxa"/>
            <w:bottom w:w="0" w:type="dxa"/>
            <w:right w:w="0" w:type="dxa"/>
          </w:tblCellMar>
        </w:tblPrEx>
        <w:trPr>
          <w:trHeight w:hRule="exact" w:val="275"/>
        </w:trPr>
        <w:tc>
          <w:tcPr>
            <w:tcW w:w="3473"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Applegate Basin</w:t>
            </w:r>
          </w:p>
        </w:tc>
        <w:tc>
          <w:tcPr>
            <w:tcW w:w="1060" w:type="dxa"/>
            <w:tcBorders>
              <w:top w:val="single" w:sz="7" w:space="0" w:color="000000"/>
              <w:left w:val="single" w:sz="7" w:space="0" w:color="000000"/>
              <w:bottom w:val="nil"/>
              <w:right w:val="nil"/>
            </w:tcBorders>
          </w:tcPr>
          <w:p w:rsidR="00AD71F6" w:rsidRDefault="00AD71F6">
            <w:pPr>
              <w:pStyle w:val="TableParagraph"/>
              <w:kinsoku w:val="0"/>
              <w:overflowPunct w:val="0"/>
              <w:ind w:left="16"/>
              <w:rPr>
                <w:rFonts w:ascii="Times New Roman" w:hAnsi="Times New Roman" w:cs="Times New Roman"/>
              </w:rPr>
            </w:pPr>
            <w:r>
              <w:rPr>
                <w:w w:val="99"/>
                <w:sz w:val="20"/>
                <w:szCs w:val="20"/>
              </w:rPr>
              <w:t>2</w:t>
            </w:r>
          </w:p>
        </w:tc>
        <w:tc>
          <w:tcPr>
            <w:tcW w:w="1165" w:type="dxa"/>
            <w:tcBorders>
              <w:top w:val="single" w:sz="7" w:space="0" w:color="000000"/>
              <w:left w:val="nil"/>
              <w:bottom w:val="nil"/>
              <w:right w:val="nil"/>
            </w:tcBorders>
          </w:tcPr>
          <w:p w:rsidR="00AD71F6" w:rsidRDefault="00AD71F6">
            <w:pPr>
              <w:pStyle w:val="TableParagraph"/>
              <w:kinsoku w:val="0"/>
              <w:overflowPunct w:val="0"/>
              <w:ind w:left="60" w:right="63"/>
              <w:rPr>
                <w:rFonts w:ascii="Times New Roman" w:hAnsi="Times New Roman" w:cs="Times New Roman"/>
              </w:rPr>
            </w:pPr>
            <w:r>
              <w:rPr>
                <w:sz w:val="20"/>
                <w:szCs w:val="20"/>
              </w:rPr>
              <w:t>110%</w:t>
            </w:r>
          </w:p>
        </w:tc>
        <w:tc>
          <w:tcPr>
            <w:tcW w:w="896" w:type="dxa"/>
            <w:tcBorders>
              <w:top w:val="single" w:sz="7" w:space="0" w:color="000000"/>
              <w:left w:val="nil"/>
              <w:bottom w:val="nil"/>
              <w:right w:val="single" w:sz="7" w:space="0" w:color="000000"/>
            </w:tcBorders>
          </w:tcPr>
          <w:p w:rsidR="00AD71F6" w:rsidRDefault="00AD71F6">
            <w:pPr>
              <w:pStyle w:val="TableParagraph"/>
              <w:kinsoku w:val="0"/>
              <w:overflowPunct w:val="0"/>
              <w:ind w:left="77" w:right="77"/>
              <w:rPr>
                <w:rFonts w:ascii="Times New Roman" w:hAnsi="Times New Roman" w:cs="Times New Roman"/>
              </w:rPr>
            </w:pPr>
            <w:r>
              <w:rPr>
                <w:sz w:val="20"/>
                <w:szCs w:val="20"/>
              </w:rPr>
              <w:t>183%</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Middle Rogue Basin</w:t>
            </w:r>
          </w:p>
        </w:tc>
        <w:tc>
          <w:tcPr>
            <w:tcW w:w="1060" w:type="dxa"/>
            <w:tcBorders>
              <w:top w:val="nil"/>
              <w:left w:val="single" w:sz="7" w:space="0" w:color="000000"/>
              <w:bottom w:val="nil"/>
              <w:right w:val="nil"/>
            </w:tcBorders>
          </w:tcPr>
          <w:p w:rsidR="00AD71F6" w:rsidRDefault="00AD71F6">
            <w:pPr>
              <w:pStyle w:val="TableParagraph"/>
              <w:kinsoku w:val="0"/>
              <w:overflowPunct w:val="0"/>
              <w:ind w:left="16"/>
              <w:rPr>
                <w:rFonts w:ascii="Times New Roman" w:hAnsi="Times New Roman" w:cs="Times New Roman"/>
              </w:rPr>
            </w:pPr>
            <w:r>
              <w:rPr>
                <w:w w:val="99"/>
                <w:sz w:val="20"/>
                <w:szCs w:val="20"/>
              </w:rPr>
              <w:t>5</w:t>
            </w:r>
          </w:p>
        </w:tc>
        <w:tc>
          <w:tcPr>
            <w:tcW w:w="1165" w:type="dxa"/>
            <w:tcBorders>
              <w:top w:val="nil"/>
              <w:left w:val="nil"/>
              <w:bottom w:val="nil"/>
              <w:right w:val="nil"/>
            </w:tcBorders>
          </w:tcPr>
          <w:p w:rsidR="00AD71F6" w:rsidRDefault="00AD71F6">
            <w:pPr>
              <w:pStyle w:val="TableParagraph"/>
              <w:kinsoku w:val="0"/>
              <w:overflowPunct w:val="0"/>
              <w:ind w:left="60" w:right="63"/>
              <w:rPr>
                <w:rFonts w:ascii="Times New Roman" w:hAnsi="Times New Roman" w:cs="Times New Roman"/>
              </w:rPr>
            </w:pPr>
            <w:r>
              <w:rPr>
                <w:sz w:val="20"/>
                <w:szCs w:val="20"/>
              </w:rPr>
              <w:t>285%</w:t>
            </w:r>
          </w:p>
        </w:tc>
        <w:tc>
          <w:tcPr>
            <w:tcW w:w="896" w:type="dxa"/>
            <w:tcBorders>
              <w:top w:val="nil"/>
              <w:left w:val="nil"/>
              <w:bottom w:val="nil"/>
              <w:right w:val="single" w:sz="7" w:space="0" w:color="000000"/>
            </w:tcBorders>
          </w:tcPr>
          <w:p w:rsidR="00AD71F6" w:rsidRDefault="00AD71F6">
            <w:pPr>
              <w:pStyle w:val="TableParagraph"/>
              <w:kinsoku w:val="0"/>
              <w:overflowPunct w:val="0"/>
              <w:ind w:left="77" w:right="77"/>
              <w:rPr>
                <w:rFonts w:ascii="Times New Roman" w:hAnsi="Times New Roman" w:cs="Times New Roman"/>
              </w:rPr>
            </w:pPr>
            <w:r>
              <w:rPr>
                <w:sz w:val="20"/>
                <w:szCs w:val="20"/>
              </w:rPr>
              <w:t>600%</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North Umpqua Basin</w:t>
            </w:r>
          </w:p>
        </w:tc>
        <w:tc>
          <w:tcPr>
            <w:tcW w:w="1060" w:type="dxa"/>
            <w:tcBorders>
              <w:top w:val="nil"/>
              <w:left w:val="single" w:sz="7" w:space="0" w:color="000000"/>
              <w:bottom w:val="nil"/>
              <w:right w:val="nil"/>
            </w:tcBorders>
          </w:tcPr>
          <w:p w:rsidR="00AD71F6" w:rsidRDefault="00AD71F6">
            <w:pPr>
              <w:pStyle w:val="TableParagraph"/>
              <w:kinsoku w:val="0"/>
              <w:overflowPunct w:val="0"/>
              <w:ind w:left="16"/>
              <w:rPr>
                <w:rFonts w:ascii="Times New Roman" w:hAnsi="Times New Roman" w:cs="Times New Roman"/>
              </w:rPr>
            </w:pPr>
            <w:r>
              <w:rPr>
                <w:w w:val="99"/>
                <w:sz w:val="20"/>
                <w:szCs w:val="20"/>
              </w:rPr>
              <w:t>3</w:t>
            </w:r>
          </w:p>
        </w:tc>
        <w:tc>
          <w:tcPr>
            <w:tcW w:w="1165" w:type="dxa"/>
            <w:tcBorders>
              <w:top w:val="nil"/>
              <w:left w:val="nil"/>
              <w:bottom w:val="nil"/>
              <w:right w:val="nil"/>
            </w:tcBorders>
          </w:tcPr>
          <w:p w:rsidR="00AD71F6" w:rsidRDefault="00AD71F6">
            <w:pPr>
              <w:pStyle w:val="TableParagraph"/>
              <w:kinsoku w:val="0"/>
              <w:overflowPunct w:val="0"/>
              <w:ind w:left="60" w:right="63"/>
              <w:rPr>
                <w:rFonts w:ascii="Times New Roman" w:hAnsi="Times New Roman" w:cs="Times New Roman"/>
              </w:rPr>
            </w:pPr>
            <w:r>
              <w:rPr>
                <w:sz w:val="20"/>
                <w:szCs w:val="20"/>
              </w:rPr>
              <w:t>124%</w:t>
            </w:r>
          </w:p>
        </w:tc>
        <w:tc>
          <w:tcPr>
            <w:tcW w:w="896" w:type="dxa"/>
            <w:tcBorders>
              <w:top w:val="nil"/>
              <w:left w:val="nil"/>
              <w:bottom w:val="nil"/>
              <w:right w:val="single" w:sz="7" w:space="0" w:color="000000"/>
            </w:tcBorders>
          </w:tcPr>
          <w:p w:rsidR="00AD71F6" w:rsidRDefault="00AD71F6">
            <w:pPr>
              <w:pStyle w:val="TableParagraph"/>
              <w:kinsoku w:val="0"/>
              <w:overflowPunct w:val="0"/>
              <w:ind w:left="77" w:right="77"/>
              <w:rPr>
                <w:rFonts w:ascii="Times New Roman" w:hAnsi="Times New Roman" w:cs="Times New Roman"/>
              </w:rPr>
            </w:pPr>
            <w:r>
              <w:rPr>
                <w:sz w:val="20"/>
                <w:szCs w:val="20"/>
              </w:rPr>
              <w:t>176%</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South Umpqua Basin</w:t>
            </w:r>
          </w:p>
        </w:tc>
        <w:tc>
          <w:tcPr>
            <w:tcW w:w="1060" w:type="dxa"/>
            <w:tcBorders>
              <w:top w:val="nil"/>
              <w:left w:val="single" w:sz="7" w:space="0" w:color="000000"/>
              <w:bottom w:val="nil"/>
              <w:right w:val="nil"/>
            </w:tcBorders>
          </w:tcPr>
          <w:p w:rsidR="00AD71F6" w:rsidRDefault="00AD71F6">
            <w:pPr>
              <w:pStyle w:val="TableParagraph"/>
              <w:kinsoku w:val="0"/>
              <w:overflowPunct w:val="0"/>
              <w:ind w:left="16"/>
              <w:rPr>
                <w:rFonts w:ascii="Times New Roman" w:hAnsi="Times New Roman" w:cs="Times New Roman"/>
              </w:rPr>
            </w:pPr>
            <w:r>
              <w:rPr>
                <w:w w:val="99"/>
                <w:sz w:val="20"/>
                <w:szCs w:val="20"/>
              </w:rPr>
              <w:t>6</w:t>
            </w:r>
          </w:p>
        </w:tc>
        <w:tc>
          <w:tcPr>
            <w:tcW w:w="1165" w:type="dxa"/>
            <w:tcBorders>
              <w:top w:val="nil"/>
              <w:left w:val="nil"/>
              <w:bottom w:val="nil"/>
              <w:right w:val="nil"/>
            </w:tcBorders>
          </w:tcPr>
          <w:p w:rsidR="00AD71F6" w:rsidRDefault="00AD71F6">
            <w:pPr>
              <w:pStyle w:val="TableParagraph"/>
              <w:kinsoku w:val="0"/>
              <w:overflowPunct w:val="0"/>
              <w:ind w:left="60" w:right="63"/>
              <w:rPr>
                <w:rFonts w:ascii="Times New Roman" w:hAnsi="Times New Roman" w:cs="Times New Roman"/>
              </w:rPr>
            </w:pPr>
            <w:r>
              <w:rPr>
                <w:sz w:val="20"/>
                <w:szCs w:val="20"/>
              </w:rPr>
              <w:t>212%</w:t>
            </w:r>
          </w:p>
        </w:tc>
        <w:tc>
          <w:tcPr>
            <w:tcW w:w="896" w:type="dxa"/>
            <w:tcBorders>
              <w:top w:val="nil"/>
              <w:left w:val="nil"/>
              <w:bottom w:val="nil"/>
              <w:right w:val="single" w:sz="7" w:space="0" w:color="000000"/>
            </w:tcBorders>
          </w:tcPr>
          <w:p w:rsidR="00AD71F6" w:rsidRDefault="00AD71F6">
            <w:pPr>
              <w:pStyle w:val="TableParagraph"/>
              <w:kinsoku w:val="0"/>
              <w:overflowPunct w:val="0"/>
              <w:ind w:left="77" w:right="77"/>
              <w:rPr>
                <w:rFonts w:ascii="Times New Roman" w:hAnsi="Times New Roman" w:cs="Times New Roman"/>
              </w:rPr>
            </w:pPr>
            <w:r>
              <w:rPr>
                <w:sz w:val="20"/>
                <w:szCs w:val="20"/>
              </w:rPr>
              <w:t>422%</w:t>
            </w:r>
          </w:p>
        </w:tc>
      </w:tr>
      <w:tr w:rsidR="00AD71F6">
        <w:tblPrEx>
          <w:tblCellMar>
            <w:top w:w="0" w:type="dxa"/>
            <w:left w:w="0" w:type="dxa"/>
            <w:bottom w:w="0" w:type="dxa"/>
            <w:right w:w="0" w:type="dxa"/>
          </w:tblCellMar>
        </w:tblPrEx>
        <w:trPr>
          <w:trHeight w:hRule="exact" w:val="257"/>
        </w:trPr>
        <w:tc>
          <w:tcPr>
            <w:tcW w:w="3473"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Upper Rogue Basin</w:t>
            </w:r>
          </w:p>
        </w:tc>
        <w:tc>
          <w:tcPr>
            <w:tcW w:w="1060" w:type="dxa"/>
            <w:tcBorders>
              <w:top w:val="nil"/>
              <w:left w:val="single" w:sz="7" w:space="0" w:color="000000"/>
              <w:bottom w:val="single" w:sz="7" w:space="0" w:color="000000"/>
              <w:right w:val="nil"/>
            </w:tcBorders>
          </w:tcPr>
          <w:p w:rsidR="00AD71F6" w:rsidRDefault="00AD71F6">
            <w:pPr>
              <w:pStyle w:val="TableParagraph"/>
              <w:kinsoku w:val="0"/>
              <w:overflowPunct w:val="0"/>
              <w:ind w:left="62" w:right="46"/>
              <w:rPr>
                <w:rFonts w:ascii="Times New Roman" w:hAnsi="Times New Roman" w:cs="Times New Roman"/>
              </w:rPr>
            </w:pPr>
            <w:r>
              <w:rPr>
                <w:sz w:val="20"/>
                <w:szCs w:val="20"/>
              </w:rPr>
              <w:t>10</w:t>
            </w:r>
          </w:p>
        </w:tc>
        <w:tc>
          <w:tcPr>
            <w:tcW w:w="1165" w:type="dxa"/>
            <w:tcBorders>
              <w:top w:val="nil"/>
              <w:left w:val="nil"/>
              <w:bottom w:val="single" w:sz="7" w:space="0" w:color="000000"/>
              <w:right w:val="nil"/>
            </w:tcBorders>
          </w:tcPr>
          <w:p w:rsidR="00AD71F6" w:rsidRDefault="00AD71F6">
            <w:pPr>
              <w:pStyle w:val="TableParagraph"/>
              <w:kinsoku w:val="0"/>
              <w:overflowPunct w:val="0"/>
              <w:ind w:left="60" w:right="63"/>
              <w:rPr>
                <w:rFonts w:ascii="Times New Roman" w:hAnsi="Times New Roman" w:cs="Times New Roman"/>
              </w:rPr>
            </w:pPr>
            <w:r>
              <w:rPr>
                <w:sz w:val="20"/>
                <w:szCs w:val="20"/>
              </w:rPr>
              <w:t>107%</w:t>
            </w:r>
          </w:p>
        </w:tc>
        <w:tc>
          <w:tcPr>
            <w:tcW w:w="896" w:type="dxa"/>
            <w:tcBorders>
              <w:top w:val="nil"/>
              <w:left w:val="nil"/>
              <w:bottom w:val="single" w:sz="7" w:space="0" w:color="000000"/>
              <w:right w:val="single" w:sz="7" w:space="0" w:color="000000"/>
            </w:tcBorders>
          </w:tcPr>
          <w:p w:rsidR="00AD71F6" w:rsidRDefault="00AD71F6">
            <w:pPr>
              <w:pStyle w:val="TableParagraph"/>
              <w:kinsoku w:val="0"/>
              <w:overflowPunct w:val="0"/>
              <w:ind w:left="77" w:right="77"/>
              <w:rPr>
                <w:rFonts w:ascii="Times New Roman" w:hAnsi="Times New Roman" w:cs="Times New Roman"/>
              </w:rPr>
            </w:pPr>
            <w:r>
              <w:rPr>
                <w:sz w:val="20"/>
                <w:szCs w:val="20"/>
              </w:rPr>
              <w:t>157%</w:t>
            </w:r>
          </w:p>
        </w:tc>
      </w:tr>
    </w:tbl>
    <w:p w:rsidR="00AD71F6" w:rsidRDefault="00AD71F6" w:rsidP="00AD71F6">
      <w:pPr>
        <w:pStyle w:val="BodyText"/>
        <w:kinsoku w:val="0"/>
        <w:overflowPunct w:val="0"/>
        <w:spacing w:after="1"/>
        <w:rPr>
          <w:sz w:val="21"/>
          <w:szCs w:val="21"/>
        </w:rPr>
      </w:pPr>
    </w:p>
    <w:tbl>
      <w:tblPr>
        <w:tblW w:w="0" w:type="auto"/>
        <w:tblInd w:w="103" w:type="dxa"/>
        <w:tblLayout w:type="fixed"/>
        <w:tblCellMar>
          <w:left w:w="0" w:type="dxa"/>
          <w:right w:w="0" w:type="dxa"/>
        </w:tblCellMar>
        <w:tblLook w:val="0000" w:firstRow="0" w:lastRow="0" w:firstColumn="0" w:lastColumn="0" w:noHBand="0" w:noVBand="0"/>
      </w:tblPr>
      <w:tblGrid>
        <w:gridCol w:w="3473"/>
        <w:gridCol w:w="1073"/>
        <w:gridCol w:w="1165"/>
        <w:gridCol w:w="883"/>
        <w:gridCol w:w="939"/>
        <w:gridCol w:w="913"/>
        <w:gridCol w:w="930"/>
        <w:gridCol w:w="925"/>
      </w:tblGrid>
      <w:tr w:rsidR="00AD71F6">
        <w:tblPrEx>
          <w:tblCellMar>
            <w:top w:w="0" w:type="dxa"/>
            <w:left w:w="0" w:type="dxa"/>
            <w:bottom w:w="0" w:type="dxa"/>
            <w:right w:w="0" w:type="dxa"/>
          </w:tblCellMar>
        </w:tblPrEx>
        <w:trPr>
          <w:trHeight w:hRule="exact" w:val="291"/>
        </w:trPr>
        <w:tc>
          <w:tcPr>
            <w:tcW w:w="3473" w:type="dxa"/>
            <w:vMerge w:val="restart"/>
            <w:tcBorders>
              <w:top w:val="single" w:sz="7" w:space="0" w:color="000000"/>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148" w:line="268" w:lineRule="auto"/>
              <w:ind w:left="1492" w:hanging="1229"/>
              <w:jc w:val="left"/>
              <w:rPr>
                <w:rFonts w:ascii="Times New Roman" w:hAnsi="Times New Roman" w:cs="Times New Roman"/>
              </w:rPr>
            </w:pPr>
            <w:r>
              <w:rPr>
                <w:b/>
                <w:bCs/>
                <w:sz w:val="20"/>
                <w:szCs w:val="20"/>
              </w:rPr>
              <w:t>Basin Snowpack Measurement Sites</w:t>
            </w:r>
          </w:p>
        </w:tc>
        <w:tc>
          <w:tcPr>
            <w:tcW w:w="1073" w:type="dxa"/>
            <w:tcBorders>
              <w:top w:val="single" w:sz="7" w:space="0" w:color="000000"/>
              <w:left w:val="single" w:sz="7" w:space="0" w:color="000000"/>
              <w:bottom w:val="nil"/>
              <w:right w:val="nil"/>
            </w:tcBorders>
          </w:tcPr>
          <w:p w:rsidR="00AD71F6" w:rsidRDefault="00AD71F6">
            <w:pPr>
              <w:rPr>
                <w:rFonts w:ascii="Times New Roman" w:hAnsi="Times New Roman" w:cs="Times New Roman"/>
              </w:rPr>
            </w:pPr>
          </w:p>
        </w:tc>
        <w:tc>
          <w:tcPr>
            <w:tcW w:w="1165" w:type="dxa"/>
            <w:tcBorders>
              <w:top w:val="single" w:sz="7" w:space="0" w:color="000000"/>
              <w:left w:val="nil"/>
              <w:bottom w:val="nil"/>
              <w:right w:val="nil"/>
            </w:tcBorders>
          </w:tcPr>
          <w:p w:rsidR="00AD71F6" w:rsidRDefault="00AD71F6">
            <w:pPr>
              <w:rPr>
                <w:rFonts w:ascii="Times New Roman" w:hAnsi="Times New Roman" w:cs="Times New Roman"/>
              </w:rPr>
            </w:pPr>
          </w:p>
        </w:tc>
        <w:tc>
          <w:tcPr>
            <w:tcW w:w="883" w:type="dxa"/>
            <w:tcBorders>
              <w:top w:val="single" w:sz="7" w:space="0" w:color="000000"/>
              <w:left w:val="nil"/>
              <w:bottom w:val="nil"/>
              <w:right w:val="single" w:sz="7" w:space="0" w:color="000000"/>
            </w:tcBorders>
          </w:tcPr>
          <w:p w:rsidR="00AD71F6" w:rsidRDefault="00AD71F6">
            <w:pPr>
              <w:rPr>
                <w:rFonts w:ascii="Times New Roman" w:hAnsi="Times New Roman" w:cs="Times New Roman"/>
              </w:rPr>
            </w:pPr>
          </w:p>
        </w:tc>
        <w:tc>
          <w:tcPr>
            <w:tcW w:w="3707" w:type="dxa"/>
            <w:gridSpan w:val="4"/>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spacing w:before="14"/>
              <w:ind w:left="556"/>
              <w:jc w:val="left"/>
              <w:rPr>
                <w:rFonts w:ascii="Times New Roman" w:hAnsi="Times New Roman" w:cs="Times New Roman"/>
              </w:rPr>
            </w:pPr>
            <w:r>
              <w:rPr>
                <w:b/>
                <w:bCs/>
                <w:sz w:val="20"/>
                <w:szCs w:val="20"/>
              </w:rPr>
              <w:t>Snow Water Equivalent (in)</w:t>
            </w:r>
          </w:p>
        </w:tc>
      </w:tr>
      <w:tr w:rsidR="00AD71F6">
        <w:tblPrEx>
          <w:tblCellMar>
            <w:top w:w="0" w:type="dxa"/>
            <w:left w:w="0" w:type="dxa"/>
            <w:bottom w:w="0" w:type="dxa"/>
            <w:right w:w="0" w:type="dxa"/>
          </w:tblCellMar>
        </w:tblPrEx>
        <w:trPr>
          <w:trHeight w:hRule="exact" w:val="530"/>
        </w:trPr>
        <w:tc>
          <w:tcPr>
            <w:tcW w:w="3473" w:type="dxa"/>
            <w:vMerge/>
            <w:tcBorders>
              <w:top w:val="single" w:sz="7" w:space="0" w:color="000000"/>
              <w:left w:val="single" w:sz="7" w:space="0" w:color="000000"/>
              <w:bottom w:val="single" w:sz="7" w:space="0" w:color="000000"/>
              <w:right w:val="single" w:sz="7" w:space="0" w:color="000000"/>
            </w:tcBorders>
            <w:shd w:val="clear" w:color="auto" w:fill="D9D9D9"/>
          </w:tcPr>
          <w:p w:rsidR="00AD71F6" w:rsidRDefault="00AD71F6">
            <w:pPr>
              <w:pStyle w:val="TableParagraph"/>
              <w:kinsoku w:val="0"/>
              <w:overflowPunct w:val="0"/>
              <w:spacing w:before="14"/>
              <w:ind w:left="556"/>
              <w:jc w:val="left"/>
              <w:rPr>
                <w:rFonts w:ascii="Times New Roman" w:hAnsi="Times New Roman" w:cs="Times New Roman"/>
              </w:rPr>
            </w:pPr>
          </w:p>
        </w:tc>
        <w:tc>
          <w:tcPr>
            <w:tcW w:w="1073" w:type="dxa"/>
            <w:tcBorders>
              <w:top w:val="nil"/>
              <w:left w:val="single" w:sz="7" w:space="0" w:color="000000"/>
              <w:bottom w:val="single" w:sz="7" w:space="0" w:color="000000"/>
              <w:right w:val="nil"/>
            </w:tcBorders>
          </w:tcPr>
          <w:p w:rsidR="00AD71F6" w:rsidRDefault="00AD71F6">
            <w:pPr>
              <w:pStyle w:val="TableParagraph"/>
              <w:kinsoku w:val="0"/>
              <w:overflowPunct w:val="0"/>
              <w:spacing w:before="16" w:line="268" w:lineRule="auto"/>
              <w:ind w:left="391" w:right="73" w:hanging="311"/>
              <w:jc w:val="left"/>
              <w:rPr>
                <w:rFonts w:ascii="Times New Roman" w:hAnsi="Times New Roman" w:cs="Times New Roman"/>
              </w:rPr>
            </w:pPr>
            <w:r>
              <w:rPr>
                <w:b/>
                <w:bCs/>
                <w:sz w:val="20"/>
                <w:szCs w:val="20"/>
              </w:rPr>
              <w:t>Elevation</w:t>
            </w:r>
            <w:r>
              <w:rPr>
                <w:b/>
                <w:bCs/>
                <w:w w:val="99"/>
                <w:sz w:val="20"/>
                <w:szCs w:val="20"/>
              </w:rPr>
              <w:t xml:space="preserve"> </w:t>
            </w:r>
            <w:r>
              <w:rPr>
                <w:b/>
                <w:bCs/>
                <w:sz w:val="20"/>
                <w:szCs w:val="20"/>
              </w:rPr>
              <w:t>(ft)</w:t>
            </w:r>
          </w:p>
        </w:tc>
        <w:tc>
          <w:tcPr>
            <w:tcW w:w="1165" w:type="dxa"/>
            <w:tcBorders>
              <w:top w:val="nil"/>
              <w:left w:val="nil"/>
              <w:bottom w:val="single" w:sz="7" w:space="0" w:color="000000"/>
              <w:right w:val="nil"/>
            </w:tcBorders>
          </w:tcPr>
          <w:p w:rsidR="00AD71F6" w:rsidRDefault="00AD71F6">
            <w:pPr>
              <w:pStyle w:val="TableParagraph"/>
              <w:kinsoku w:val="0"/>
              <w:overflowPunct w:val="0"/>
              <w:spacing w:before="16" w:line="268" w:lineRule="auto"/>
              <w:ind w:left="94" w:right="117" w:firstLine="252"/>
              <w:jc w:val="left"/>
              <w:rPr>
                <w:rFonts w:ascii="Times New Roman" w:hAnsi="Times New Roman" w:cs="Times New Roman"/>
              </w:rPr>
            </w:pPr>
            <w:r>
              <w:rPr>
                <w:b/>
                <w:bCs/>
                <w:sz w:val="20"/>
                <w:szCs w:val="20"/>
              </w:rPr>
              <w:t>Date Measured</w:t>
            </w:r>
          </w:p>
        </w:tc>
        <w:tc>
          <w:tcPr>
            <w:tcW w:w="883" w:type="dxa"/>
            <w:tcBorders>
              <w:top w:val="nil"/>
              <w:left w:val="nil"/>
              <w:bottom w:val="single" w:sz="7" w:space="0" w:color="000000"/>
              <w:right w:val="single" w:sz="7" w:space="0" w:color="000000"/>
            </w:tcBorders>
          </w:tcPr>
          <w:p w:rsidR="00AD71F6" w:rsidRDefault="00AD71F6">
            <w:pPr>
              <w:pStyle w:val="TableParagraph"/>
              <w:kinsoku w:val="0"/>
              <w:overflowPunct w:val="0"/>
              <w:spacing w:before="16" w:line="268" w:lineRule="auto"/>
              <w:ind w:left="266" w:right="148" w:hanging="128"/>
              <w:jc w:val="left"/>
              <w:rPr>
                <w:rFonts w:ascii="Times New Roman" w:hAnsi="Times New Roman" w:cs="Times New Roman"/>
              </w:rPr>
            </w:pPr>
            <w:r>
              <w:rPr>
                <w:b/>
                <w:bCs/>
                <w:sz w:val="20"/>
                <w:szCs w:val="20"/>
              </w:rPr>
              <w:t>Depth</w:t>
            </w:r>
            <w:r>
              <w:rPr>
                <w:b/>
                <w:bCs/>
                <w:w w:val="99"/>
                <w:sz w:val="20"/>
                <w:szCs w:val="20"/>
              </w:rPr>
              <w:t xml:space="preserve"> </w:t>
            </w:r>
            <w:r>
              <w:rPr>
                <w:b/>
                <w:bCs/>
                <w:sz w:val="20"/>
                <w:szCs w:val="20"/>
              </w:rPr>
              <w:t>(in)</w:t>
            </w:r>
          </w:p>
        </w:tc>
        <w:tc>
          <w:tcPr>
            <w:tcW w:w="939" w:type="dxa"/>
            <w:tcBorders>
              <w:top w:val="nil"/>
              <w:left w:val="single" w:sz="7" w:space="0" w:color="000000"/>
              <w:bottom w:val="single" w:sz="7" w:space="0" w:color="000000"/>
              <w:right w:val="nil"/>
            </w:tcBorders>
          </w:tcPr>
          <w:p w:rsidR="00AD71F6" w:rsidRDefault="00AD71F6">
            <w:pPr>
              <w:pStyle w:val="TableParagraph"/>
              <w:kinsoku w:val="0"/>
              <w:overflowPunct w:val="0"/>
              <w:spacing w:before="16" w:line="268" w:lineRule="auto"/>
              <w:ind w:left="230" w:hanging="135"/>
              <w:jc w:val="left"/>
              <w:rPr>
                <w:rFonts w:ascii="Times New Roman" w:hAnsi="Times New Roman" w:cs="Times New Roman"/>
              </w:rPr>
            </w:pPr>
            <w:r>
              <w:rPr>
                <w:b/>
                <w:bCs/>
                <w:w w:val="95"/>
                <w:sz w:val="20"/>
                <w:szCs w:val="20"/>
              </w:rPr>
              <w:t xml:space="preserve">Current </w:t>
            </w:r>
            <w:r>
              <w:rPr>
                <w:b/>
                <w:bCs/>
                <w:sz w:val="20"/>
                <w:szCs w:val="20"/>
              </w:rPr>
              <w:t>SWE</w:t>
            </w:r>
          </w:p>
        </w:tc>
        <w:tc>
          <w:tcPr>
            <w:tcW w:w="913" w:type="dxa"/>
            <w:tcBorders>
              <w:top w:val="nil"/>
              <w:left w:val="nil"/>
              <w:bottom w:val="single" w:sz="7" w:space="0" w:color="000000"/>
              <w:right w:val="nil"/>
            </w:tcBorders>
          </w:tcPr>
          <w:p w:rsidR="00AD71F6" w:rsidRDefault="00AD71F6">
            <w:pPr>
              <w:pStyle w:val="TableParagraph"/>
              <w:kinsoku w:val="0"/>
              <w:overflowPunct w:val="0"/>
              <w:spacing w:before="16" w:line="268" w:lineRule="auto"/>
              <w:ind w:left="227" w:right="100" w:hanging="113"/>
              <w:jc w:val="left"/>
              <w:rPr>
                <w:rFonts w:ascii="Times New Roman" w:hAnsi="Times New Roman" w:cs="Times New Roman"/>
              </w:rPr>
            </w:pPr>
            <w:r>
              <w:rPr>
                <w:b/>
                <w:bCs/>
                <w:sz w:val="20"/>
                <w:szCs w:val="20"/>
              </w:rPr>
              <w:t>Last Yr SWE</w:t>
            </w:r>
          </w:p>
        </w:tc>
        <w:tc>
          <w:tcPr>
            <w:tcW w:w="930" w:type="dxa"/>
            <w:tcBorders>
              <w:top w:val="nil"/>
              <w:left w:val="nil"/>
              <w:bottom w:val="single" w:sz="7" w:space="0" w:color="000000"/>
              <w:right w:val="nil"/>
            </w:tcBorders>
          </w:tcPr>
          <w:p w:rsidR="00AD71F6" w:rsidRDefault="00AD71F6">
            <w:pPr>
              <w:pStyle w:val="TableParagraph"/>
              <w:kinsoku w:val="0"/>
              <w:overflowPunct w:val="0"/>
              <w:spacing w:before="8"/>
              <w:jc w:val="left"/>
              <w:rPr>
                <w:b/>
                <w:bCs/>
                <w:sz w:val="23"/>
                <w:szCs w:val="23"/>
              </w:rPr>
            </w:pPr>
          </w:p>
          <w:p w:rsidR="00AD71F6" w:rsidRDefault="00AD71F6">
            <w:pPr>
              <w:pStyle w:val="TableParagraph"/>
              <w:kinsoku w:val="0"/>
              <w:overflowPunct w:val="0"/>
              <w:spacing w:before="0"/>
              <w:ind w:left="102" w:right="99"/>
              <w:rPr>
                <w:rFonts w:ascii="Times New Roman" w:hAnsi="Times New Roman" w:cs="Times New Roman"/>
              </w:rPr>
            </w:pPr>
            <w:r>
              <w:rPr>
                <w:b/>
                <w:bCs/>
                <w:sz w:val="20"/>
                <w:szCs w:val="20"/>
              </w:rPr>
              <w:t>Median</w:t>
            </w:r>
          </w:p>
        </w:tc>
        <w:tc>
          <w:tcPr>
            <w:tcW w:w="925" w:type="dxa"/>
            <w:tcBorders>
              <w:top w:val="nil"/>
              <w:left w:val="nil"/>
              <w:bottom w:val="single" w:sz="7" w:space="0" w:color="000000"/>
              <w:right w:val="single" w:sz="7" w:space="0" w:color="000000"/>
            </w:tcBorders>
          </w:tcPr>
          <w:p w:rsidR="00AD71F6" w:rsidRDefault="00AD71F6">
            <w:pPr>
              <w:pStyle w:val="TableParagraph"/>
              <w:kinsoku w:val="0"/>
              <w:overflowPunct w:val="0"/>
              <w:spacing w:before="16" w:line="268" w:lineRule="auto"/>
              <w:ind w:left="117" w:right="89" w:firstLine="136"/>
              <w:jc w:val="left"/>
              <w:rPr>
                <w:rFonts w:ascii="Times New Roman" w:hAnsi="Times New Roman" w:cs="Times New Roman"/>
              </w:rPr>
            </w:pPr>
            <w:r>
              <w:rPr>
                <w:b/>
                <w:bCs/>
                <w:sz w:val="20"/>
                <w:szCs w:val="20"/>
              </w:rPr>
              <w:t>% of Median</w:t>
            </w:r>
          </w:p>
        </w:tc>
      </w:tr>
      <w:tr w:rsidR="00AD71F6">
        <w:tblPrEx>
          <w:tblCellMar>
            <w:top w:w="0" w:type="dxa"/>
            <w:left w:w="0" w:type="dxa"/>
            <w:bottom w:w="0" w:type="dxa"/>
            <w:right w:w="0" w:type="dxa"/>
          </w:tblCellMar>
        </w:tblPrEx>
        <w:trPr>
          <w:trHeight w:hRule="exact" w:val="275"/>
        </w:trPr>
        <w:tc>
          <w:tcPr>
            <w:tcW w:w="3473" w:type="dxa"/>
            <w:tcBorders>
              <w:top w:val="single" w:sz="7" w:space="0" w:color="000000"/>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Park H.Q. Rev Snow Course</w:t>
            </w:r>
          </w:p>
        </w:tc>
        <w:tc>
          <w:tcPr>
            <w:tcW w:w="1073" w:type="dxa"/>
            <w:tcBorders>
              <w:top w:val="single" w:sz="7" w:space="0" w:color="000000"/>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6570</w:t>
            </w:r>
          </w:p>
        </w:tc>
        <w:tc>
          <w:tcPr>
            <w:tcW w:w="1165" w:type="dxa"/>
            <w:tcBorders>
              <w:top w:val="single" w:sz="7" w:space="0" w:color="000000"/>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single" w:sz="7" w:space="0" w:color="000000"/>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102</w:t>
            </w:r>
          </w:p>
        </w:tc>
        <w:tc>
          <w:tcPr>
            <w:tcW w:w="939" w:type="dxa"/>
            <w:tcBorders>
              <w:top w:val="single" w:sz="7" w:space="0" w:color="000000"/>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28.4</w:t>
            </w:r>
          </w:p>
        </w:tc>
        <w:tc>
          <w:tcPr>
            <w:tcW w:w="913" w:type="dxa"/>
            <w:tcBorders>
              <w:top w:val="single" w:sz="7" w:space="0" w:color="000000"/>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35.4</w:t>
            </w:r>
          </w:p>
        </w:tc>
        <w:tc>
          <w:tcPr>
            <w:tcW w:w="930" w:type="dxa"/>
            <w:tcBorders>
              <w:top w:val="single" w:sz="7" w:space="0" w:color="000000"/>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20.6</w:t>
            </w:r>
          </w:p>
        </w:tc>
        <w:tc>
          <w:tcPr>
            <w:tcW w:w="925" w:type="dxa"/>
            <w:tcBorders>
              <w:top w:val="single" w:sz="7" w:space="0" w:color="000000"/>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138%</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Caliban (Alt.)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6500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29-Dec</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43</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12.0</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15.6</w:t>
            </w:r>
          </w:p>
        </w:tc>
        <w:tc>
          <w:tcPr>
            <w:tcW w:w="930" w:type="dxa"/>
            <w:tcBorders>
              <w:top w:val="nil"/>
              <w:left w:val="nil"/>
              <w:bottom w:val="nil"/>
              <w:right w:val="nil"/>
            </w:tcBorders>
          </w:tcPr>
          <w:p w:rsidR="00AD71F6" w:rsidRDefault="00AD71F6">
            <w:pPr>
              <w:rPr>
                <w:rFonts w:ascii="Times New Roman" w:hAnsi="Times New Roman" w:cs="Times New Roman"/>
              </w:rPr>
            </w:pP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8"/>
              <w:jc w:val="right"/>
              <w:rPr>
                <w:rFonts w:ascii="Times New Roman" w:hAnsi="Times New Roman" w:cs="Times New Roman"/>
              </w:rPr>
            </w:pPr>
            <w:r>
              <w:rPr>
                <w:sz w:val="20"/>
                <w:szCs w:val="20"/>
              </w:rPr>
              <w:t>Mt. Ashland Switchback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6430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29-Dec</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35</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9.0</w:t>
            </w:r>
          </w:p>
        </w:tc>
        <w:tc>
          <w:tcPr>
            <w:tcW w:w="913" w:type="dxa"/>
            <w:tcBorders>
              <w:top w:val="nil"/>
              <w:left w:val="nil"/>
              <w:bottom w:val="nil"/>
              <w:right w:val="nil"/>
            </w:tcBorders>
          </w:tcPr>
          <w:p w:rsidR="00AD71F6" w:rsidRDefault="00AD71F6">
            <w:pPr>
              <w:rPr>
                <w:rFonts w:ascii="Times New Roman" w:hAnsi="Times New Roman" w:cs="Times New Roman"/>
              </w:rPr>
            </w:pPr>
          </w:p>
        </w:tc>
        <w:tc>
          <w:tcPr>
            <w:tcW w:w="930" w:type="dxa"/>
            <w:tcBorders>
              <w:top w:val="nil"/>
              <w:left w:val="nil"/>
              <w:bottom w:val="nil"/>
              <w:right w:val="nil"/>
            </w:tcBorders>
          </w:tcPr>
          <w:p w:rsidR="00AD71F6" w:rsidRDefault="00AD71F6">
            <w:pPr>
              <w:rPr>
                <w:rFonts w:ascii="Times New Roman" w:hAnsi="Times New Roman" w:cs="Times New Roman"/>
              </w:rPr>
            </w:pP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Ski Bowl Road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6070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29-Dec</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27</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7.2</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13.3</w:t>
            </w:r>
          </w:p>
        </w:tc>
        <w:tc>
          <w:tcPr>
            <w:tcW w:w="930" w:type="dxa"/>
            <w:tcBorders>
              <w:top w:val="nil"/>
              <w:left w:val="nil"/>
              <w:bottom w:val="nil"/>
              <w:right w:val="nil"/>
            </w:tcBorders>
          </w:tcPr>
          <w:p w:rsidR="00AD71F6" w:rsidRDefault="00AD71F6">
            <w:pPr>
              <w:rPr>
                <w:rFonts w:ascii="Times New Roman" w:hAnsi="Times New Roman" w:cs="Times New Roman"/>
              </w:rPr>
            </w:pP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6"/>
              <w:jc w:val="right"/>
              <w:rPr>
                <w:rFonts w:ascii="Times New Roman" w:hAnsi="Times New Roman" w:cs="Times New Roman"/>
              </w:rPr>
            </w:pPr>
            <w:r>
              <w:rPr>
                <w:sz w:val="20"/>
                <w:szCs w:val="20"/>
              </w:rPr>
              <w:t>Big Red Mountain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6050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35</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10.4</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14.6</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10.0</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104%</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Annie Springs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6010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57</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16.0</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21.0</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17.3</w:t>
            </w:r>
          </w:p>
        </w:tc>
        <w:tc>
          <w:tcPr>
            <w:tcW w:w="925" w:type="dxa"/>
            <w:tcBorders>
              <w:top w:val="nil"/>
              <w:left w:val="nil"/>
              <w:bottom w:val="nil"/>
              <w:right w:val="single" w:sz="7" w:space="0" w:color="000000"/>
            </w:tcBorders>
          </w:tcPr>
          <w:p w:rsidR="00AD71F6" w:rsidRDefault="00AD71F6">
            <w:pPr>
              <w:pStyle w:val="TableParagraph"/>
              <w:kinsoku w:val="0"/>
              <w:overflowPunct w:val="0"/>
              <w:ind w:right="243"/>
              <w:jc w:val="right"/>
              <w:rPr>
                <w:rFonts w:ascii="Times New Roman" w:hAnsi="Times New Roman" w:cs="Times New Roman"/>
              </w:rPr>
            </w:pPr>
            <w:r>
              <w:rPr>
                <w:w w:val="95"/>
                <w:sz w:val="20"/>
                <w:szCs w:val="20"/>
              </w:rPr>
              <w:t>92%</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8"/>
              <w:jc w:val="right"/>
              <w:rPr>
                <w:rFonts w:ascii="Times New Roman" w:hAnsi="Times New Roman" w:cs="Times New Roman"/>
              </w:rPr>
            </w:pPr>
            <w:r>
              <w:rPr>
                <w:sz w:val="20"/>
                <w:szCs w:val="20"/>
              </w:rPr>
              <w:t>Fourmile Lake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5970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33</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9.2</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18.7</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13.4</w:t>
            </w:r>
          </w:p>
        </w:tc>
        <w:tc>
          <w:tcPr>
            <w:tcW w:w="925" w:type="dxa"/>
            <w:tcBorders>
              <w:top w:val="nil"/>
              <w:left w:val="nil"/>
              <w:bottom w:val="nil"/>
              <w:right w:val="single" w:sz="7" w:space="0" w:color="000000"/>
            </w:tcBorders>
          </w:tcPr>
          <w:p w:rsidR="00AD71F6" w:rsidRDefault="00AD71F6">
            <w:pPr>
              <w:pStyle w:val="TableParagraph"/>
              <w:kinsoku w:val="0"/>
              <w:overflowPunct w:val="0"/>
              <w:ind w:right="243"/>
              <w:jc w:val="right"/>
              <w:rPr>
                <w:rFonts w:ascii="Times New Roman" w:hAnsi="Times New Roman" w:cs="Times New Roman"/>
              </w:rPr>
            </w:pPr>
            <w:r>
              <w:rPr>
                <w:w w:val="95"/>
                <w:sz w:val="20"/>
                <w:szCs w:val="20"/>
              </w:rPr>
              <w:t>69%</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Cold Springs Camp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5940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35</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10.8</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16.6</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14.0</w:t>
            </w:r>
          </w:p>
        </w:tc>
        <w:tc>
          <w:tcPr>
            <w:tcW w:w="925" w:type="dxa"/>
            <w:tcBorders>
              <w:top w:val="nil"/>
              <w:left w:val="nil"/>
              <w:bottom w:val="nil"/>
              <w:right w:val="single" w:sz="7" w:space="0" w:color="000000"/>
            </w:tcBorders>
          </w:tcPr>
          <w:p w:rsidR="00AD71F6" w:rsidRDefault="00AD71F6">
            <w:pPr>
              <w:pStyle w:val="TableParagraph"/>
              <w:kinsoku w:val="0"/>
              <w:overflowPunct w:val="0"/>
              <w:ind w:right="243"/>
              <w:jc w:val="right"/>
              <w:rPr>
                <w:rFonts w:ascii="Times New Roman" w:hAnsi="Times New Roman" w:cs="Times New Roman"/>
              </w:rPr>
            </w:pPr>
            <w:r>
              <w:rPr>
                <w:w w:val="95"/>
                <w:sz w:val="20"/>
                <w:szCs w:val="20"/>
              </w:rPr>
              <w:t>77%</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Sevenmile Marsh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5700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43</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12.6</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15.7</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12.5</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101%</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Summit Lake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5610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60</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18.6</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23.0</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16.3</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114%</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8"/>
              <w:jc w:val="right"/>
              <w:rPr>
                <w:rFonts w:ascii="Times New Roman" w:hAnsi="Times New Roman" w:cs="Times New Roman"/>
              </w:rPr>
            </w:pPr>
            <w:r>
              <w:rPr>
                <w:sz w:val="20"/>
                <w:szCs w:val="20"/>
              </w:rPr>
              <w:t>Billie Creek Divide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5280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35</w:t>
            </w:r>
          </w:p>
        </w:tc>
        <w:tc>
          <w:tcPr>
            <w:tcW w:w="939" w:type="dxa"/>
            <w:tcBorders>
              <w:top w:val="nil"/>
              <w:left w:val="nil"/>
              <w:bottom w:val="nil"/>
              <w:right w:val="nil"/>
            </w:tcBorders>
          </w:tcPr>
          <w:p w:rsidR="00AD71F6" w:rsidRDefault="00AD71F6">
            <w:pPr>
              <w:pStyle w:val="TableParagraph"/>
              <w:kinsoku w:val="0"/>
              <w:overflowPunct w:val="0"/>
              <w:ind w:right="272"/>
              <w:jc w:val="right"/>
              <w:rPr>
                <w:rFonts w:ascii="Times New Roman" w:hAnsi="Times New Roman" w:cs="Times New Roman"/>
              </w:rPr>
            </w:pPr>
            <w:r>
              <w:rPr>
                <w:w w:val="95"/>
                <w:sz w:val="20"/>
                <w:szCs w:val="20"/>
              </w:rPr>
              <w:t>10.9</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19.9</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10.4</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105%</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Diamond Lake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5280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30</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9.2</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14.4</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6.6</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139%</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Bigelow Camp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5130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20</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6.2</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13.1</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5.1</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122%</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8"/>
              <w:jc w:val="right"/>
              <w:rPr>
                <w:rFonts w:ascii="Times New Roman" w:hAnsi="Times New Roman" w:cs="Times New Roman"/>
              </w:rPr>
            </w:pPr>
            <w:r>
              <w:rPr>
                <w:sz w:val="20"/>
                <w:szCs w:val="20"/>
              </w:rPr>
              <w:t>Beaver Dam Creek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5120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28</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8.9</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9.4</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6.3</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141%</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King Mountain 1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4760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30</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6.8</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11.0</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2.2</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309%</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Deadwood Junction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4660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22</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8.0</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11.1</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4.2</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190%</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Fish Lk.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4660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20</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5.0</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11.8</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5.1</w:t>
            </w:r>
          </w:p>
        </w:tc>
        <w:tc>
          <w:tcPr>
            <w:tcW w:w="925" w:type="dxa"/>
            <w:tcBorders>
              <w:top w:val="nil"/>
              <w:left w:val="nil"/>
              <w:bottom w:val="nil"/>
              <w:right w:val="single" w:sz="7" w:space="0" w:color="000000"/>
            </w:tcBorders>
          </w:tcPr>
          <w:p w:rsidR="00AD71F6" w:rsidRDefault="00AD71F6">
            <w:pPr>
              <w:pStyle w:val="TableParagraph"/>
              <w:kinsoku w:val="0"/>
              <w:overflowPunct w:val="0"/>
              <w:ind w:right="243"/>
              <w:jc w:val="right"/>
              <w:rPr>
                <w:rFonts w:ascii="Times New Roman" w:hAnsi="Times New Roman" w:cs="Times New Roman"/>
              </w:rPr>
            </w:pPr>
            <w:r>
              <w:rPr>
                <w:w w:val="95"/>
                <w:sz w:val="20"/>
                <w:szCs w:val="20"/>
              </w:rPr>
              <w:t>98%</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Howard Prairie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4580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8</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2.3</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6.6</w:t>
            </w:r>
          </w:p>
        </w:tc>
        <w:tc>
          <w:tcPr>
            <w:tcW w:w="930" w:type="dxa"/>
            <w:tcBorders>
              <w:top w:val="nil"/>
              <w:left w:val="nil"/>
              <w:bottom w:val="nil"/>
              <w:right w:val="nil"/>
            </w:tcBorders>
          </w:tcPr>
          <w:p w:rsidR="00AD71F6" w:rsidRDefault="00AD71F6">
            <w:pPr>
              <w:rPr>
                <w:rFonts w:ascii="Times New Roman" w:hAnsi="Times New Roman" w:cs="Times New Roman"/>
              </w:rPr>
            </w:pP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ind w:right="28"/>
              <w:jc w:val="right"/>
              <w:rPr>
                <w:rFonts w:ascii="Times New Roman" w:hAnsi="Times New Roman" w:cs="Times New Roman"/>
              </w:rPr>
            </w:pPr>
            <w:r>
              <w:rPr>
                <w:sz w:val="20"/>
                <w:szCs w:val="20"/>
              </w:rPr>
              <w:t>Siskiyou Summit Rev. 2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4560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29-Dec</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15</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3.8</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9.2</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2.2</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173%</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Red Butte 1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4460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30-Dec</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30</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9.3</w:t>
            </w:r>
          </w:p>
        </w:tc>
        <w:tc>
          <w:tcPr>
            <w:tcW w:w="913" w:type="dxa"/>
            <w:tcBorders>
              <w:top w:val="nil"/>
              <w:left w:val="nil"/>
              <w:bottom w:val="nil"/>
              <w:right w:val="nil"/>
            </w:tcBorders>
          </w:tcPr>
          <w:p w:rsidR="00AD71F6" w:rsidRDefault="00AD71F6">
            <w:pPr>
              <w:rPr>
                <w:rFonts w:ascii="Times New Roman" w:hAnsi="Times New Roman" w:cs="Times New Roman"/>
              </w:rPr>
            </w:pP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4.6</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202%</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King Mountain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4340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11</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3.7</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9.2</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1.5</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247%</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Red Butte 2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4050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30-Dec</w:t>
            </w:r>
          </w:p>
        </w:tc>
        <w:tc>
          <w:tcPr>
            <w:tcW w:w="883" w:type="dxa"/>
            <w:tcBorders>
              <w:top w:val="nil"/>
              <w:left w:val="nil"/>
              <w:bottom w:val="nil"/>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7</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1.5</w:t>
            </w:r>
          </w:p>
        </w:tc>
        <w:tc>
          <w:tcPr>
            <w:tcW w:w="913" w:type="dxa"/>
            <w:tcBorders>
              <w:top w:val="nil"/>
              <w:left w:val="nil"/>
              <w:bottom w:val="nil"/>
              <w:right w:val="nil"/>
            </w:tcBorders>
          </w:tcPr>
          <w:p w:rsidR="00AD71F6" w:rsidRDefault="00AD71F6">
            <w:pPr>
              <w:rPr>
                <w:rFonts w:ascii="Times New Roman" w:hAnsi="Times New Roman" w:cs="Times New Roman"/>
              </w:rPr>
            </w:pP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1.1</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136%</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Silver Burn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3680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33</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6.5</w:t>
            </w:r>
          </w:p>
        </w:tc>
        <w:tc>
          <w:tcPr>
            <w:tcW w:w="913" w:type="dxa"/>
            <w:tcBorders>
              <w:top w:val="nil"/>
              <w:left w:val="nil"/>
              <w:bottom w:val="nil"/>
              <w:right w:val="nil"/>
            </w:tcBorders>
          </w:tcPr>
          <w:p w:rsidR="00AD71F6" w:rsidRDefault="00AD71F6">
            <w:pPr>
              <w:pStyle w:val="TableParagraph"/>
              <w:kinsoku w:val="0"/>
              <w:overflowPunct w:val="0"/>
              <w:ind w:left="265" w:right="100"/>
              <w:jc w:val="left"/>
              <w:rPr>
                <w:rFonts w:ascii="Times New Roman" w:hAnsi="Times New Roman" w:cs="Times New Roman"/>
              </w:rPr>
            </w:pPr>
            <w:r>
              <w:rPr>
                <w:sz w:val="20"/>
                <w:szCs w:val="20"/>
              </w:rPr>
              <w:t>12.2</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5.3</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123%</w:t>
            </w: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King Mountain 3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3680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left="243" w:right="265"/>
              <w:rPr>
                <w:rFonts w:ascii="Times New Roman" w:hAnsi="Times New Roman" w:cs="Times New Roman"/>
              </w:rPr>
            </w:pPr>
            <w:r>
              <w:rPr>
                <w:sz w:val="20"/>
                <w:szCs w:val="20"/>
              </w:rPr>
              <w:t>14</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1.8</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5.2</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0.0</w:t>
            </w: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67"/>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Red Butte 3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3500</w:t>
            </w:r>
          </w:p>
        </w:tc>
        <w:tc>
          <w:tcPr>
            <w:tcW w:w="1165" w:type="dxa"/>
            <w:tcBorders>
              <w:top w:val="nil"/>
              <w:left w:val="nil"/>
              <w:bottom w:val="nil"/>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30-Dec</w:t>
            </w:r>
          </w:p>
        </w:tc>
        <w:tc>
          <w:tcPr>
            <w:tcW w:w="883" w:type="dxa"/>
            <w:tcBorders>
              <w:top w:val="nil"/>
              <w:left w:val="nil"/>
              <w:bottom w:val="nil"/>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4</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0.6</w:t>
            </w:r>
          </w:p>
        </w:tc>
        <w:tc>
          <w:tcPr>
            <w:tcW w:w="913" w:type="dxa"/>
            <w:tcBorders>
              <w:top w:val="nil"/>
              <w:left w:val="nil"/>
              <w:bottom w:val="nil"/>
              <w:right w:val="nil"/>
            </w:tcBorders>
          </w:tcPr>
          <w:p w:rsidR="00AD71F6" w:rsidRDefault="00AD71F6">
            <w:pPr>
              <w:rPr>
                <w:rFonts w:ascii="Times New Roman" w:hAnsi="Times New Roman" w:cs="Times New Roman"/>
              </w:rPr>
            </w:pP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0.4</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150%</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Toketee Airstrip SNOTEL</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3240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1-Jan</w:t>
            </w:r>
          </w:p>
        </w:tc>
        <w:tc>
          <w:tcPr>
            <w:tcW w:w="883" w:type="dxa"/>
            <w:tcBorders>
              <w:top w:val="nil"/>
              <w:left w:val="nil"/>
              <w:bottom w:val="nil"/>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6</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2.3</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5.1</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1.3</w:t>
            </w:r>
          </w:p>
        </w:tc>
        <w:tc>
          <w:tcPr>
            <w:tcW w:w="925" w:type="dxa"/>
            <w:tcBorders>
              <w:top w:val="nil"/>
              <w:left w:val="nil"/>
              <w:bottom w:val="nil"/>
              <w:right w:val="single" w:sz="7" w:space="0" w:color="000000"/>
            </w:tcBorders>
          </w:tcPr>
          <w:p w:rsidR="00AD71F6" w:rsidRDefault="00AD71F6">
            <w:pPr>
              <w:pStyle w:val="TableParagraph"/>
              <w:kinsoku w:val="0"/>
              <w:overflowPunct w:val="0"/>
              <w:ind w:right="188"/>
              <w:jc w:val="right"/>
              <w:rPr>
                <w:rFonts w:ascii="Times New Roman" w:hAnsi="Times New Roman" w:cs="Times New Roman"/>
              </w:rPr>
            </w:pPr>
            <w:r>
              <w:rPr>
                <w:w w:val="95"/>
                <w:sz w:val="20"/>
                <w:szCs w:val="20"/>
              </w:rPr>
              <w:t>177%</w:t>
            </w:r>
          </w:p>
        </w:tc>
      </w:tr>
      <w:tr w:rsidR="00AD71F6">
        <w:tblPrEx>
          <w:tblCellMar>
            <w:top w:w="0" w:type="dxa"/>
            <w:left w:w="0" w:type="dxa"/>
            <w:bottom w:w="0" w:type="dxa"/>
            <w:right w:w="0" w:type="dxa"/>
          </w:tblCellMar>
        </w:tblPrEx>
        <w:trPr>
          <w:trHeight w:hRule="exact" w:val="266"/>
        </w:trPr>
        <w:tc>
          <w:tcPr>
            <w:tcW w:w="3473" w:type="dxa"/>
            <w:tcBorders>
              <w:top w:val="nil"/>
              <w:left w:val="single" w:sz="7" w:space="0" w:color="000000"/>
              <w:bottom w:val="nil"/>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King Mountain 4 Snow Course</w:t>
            </w:r>
          </w:p>
        </w:tc>
        <w:tc>
          <w:tcPr>
            <w:tcW w:w="1073" w:type="dxa"/>
            <w:tcBorders>
              <w:top w:val="nil"/>
              <w:left w:val="single" w:sz="7" w:space="0" w:color="000000"/>
              <w:bottom w:val="nil"/>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3050</w:t>
            </w:r>
          </w:p>
        </w:tc>
        <w:tc>
          <w:tcPr>
            <w:tcW w:w="1165" w:type="dxa"/>
            <w:tcBorders>
              <w:top w:val="nil"/>
              <w:left w:val="nil"/>
              <w:bottom w:val="nil"/>
              <w:right w:val="nil"/>
            </w:tcBorders>
          </w:tcPr>
          <w:p w:rsidR="00AD71F6" w:rsidRDefault="00AD71F6">
            <w:pPr>
              <w:pStyle w:val="TableParagraph"/>
              <w:kinsoku w:val="0"/>
              <w:overflowPunct w:val="0"/>
              <w:ind w:right="346"/>
              <w:jc w:val="right"/>
              <w:rPr>
                <w:rFonts w:ascii="Times New Roman" w:hAnsi="Times New Roman" w:cs="Times New Roman"/>
              </w:rPr>
            </w:pPr>
            <w:r>
              <w:rPr>
                <w:w w:val="95"/>
                <w:sz w:val="20"/>
                <w:szCs w:val="20"/>
              </w:rPr>
              <w:t>3-Jan</w:t>
            </w:r>
          </w:p>
        </w:tc>
        <w:tc>
          <w:tcPr>
            <w:tcW w:w="883" w:type="dxa"/>
            <w:tcBorders>
              <w:top w:val="nil"/>
              <w:left w:val="nil"/>
              <w:bottom w:val="nil"/>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5</w:t>
            </w:r>
          </w:p>
        </w:tc>
        <w:tc>
          <w:tcPr>
            <w:tcW w:w="939" w:type="dxa"/>
            <w:tcBorders>
              <w:top w:val="nil"/>
              <w:left w:val="nil"/>
              <w:bottom w:val="nil"/>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0.7</w:t>
            </w:r>
          </w:p>
        </w:tc>
        <w:tc>
          <w:tcPr>
            <w:tcW w:w="913" w:type="dxa"/>
            <w:tcBorders>
              <w:top w:val="nil"/>
              <w:left w:val="nil"/>
              <w:bottom w:val="nil"/>
              <w:right w:val="nil"/>
            </w:tcBorders>
          </w:tcPr>
          <w:p w:rsidR="00AD71F6" w:rsidRDefault="00AD71F6">
            <w:pPr>
              <w:pStyle w:val="TableParagraph"/>
              <w:kinsoku w:val="0"/>
              <w:overflowPunct w:val="0"/>
              <w:ind w:left="321" w:right="100"/>
              <w:jc w:val="left"/>
              <w:rPr>
                <w:rFonts w:ascii="Times New Roman" w:hAnsi="Times New Roman" w:cs="Times New Roman"/>
              </w:rPr>
            </w:pPr>
            <w:r>
              <w:rPr>
                <w:sz w:val="20"/>
                <w:szCs w:val="20"/>
              </w:rPr>
              <w:t>0.8</w:t>
            </w:r>
          </w:p>
        </w:tc>
        <w:tc>
          <w:tcPr>
            <w:tcW w:w="930" w:type="dxa"/>
            <w:tcBorders>
              <w:top w:val="nil"/>
              <w:left w:val="nil"/>
              <w:bottom w:val="nil"/>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0.0</w:t>
            </w:r>
          </w:p>
        </w:tc>
        <w:tc>
          <w:tcPr>
            <w:tcW w:w="925" w:type="dxa"/>
            <w:tcBorders>
              <w:top w:val="nil"/>
              <w:left w:val="nil"/>
              <w:bottom w:val="nil"/>
              <w:right w:val="single" w:sz="7" w:space="0" w:color="000000"/>
            </w:tcBorders>
          </w:tcPr>
          <w:p w:rsidR="00AD71F6" w:rsidRDefault="00AD71F6">
            <w:pPr>
              <w:rPr>
                <w:rFonts w:ascii="Times New Roman" w:hAnsi="Times New Roman" w:cs="Times New Roman"/>
              </w:rPr>
            </w:pPr>
          </w:p>
        </w:tc>
      </w:tr>
      <w:tr w:rsidR="00AD71F6">
        <w:tblPrEx>
          <w:tblCellMar>
            <w:top w:w="0" w:type="dxa"/>
            <w:left w:w="0" w:type="dxa"/>
            <w:bottom w:w="0" w:type="dxa"/>
            <w:right w:w="0" w:type="dxa"/>
          </w:tblCellMar>
        </w:tblPrEx>
        <w:trPr>
          <w:trHeight w:hRule="exact" w:val="257"/>
        </w:trPr>
        <w:tc>
          <w:tcPr>
            <w:tcW w:w="3473" w:type="dxa"/>
            <w:tcBorders>
              <w:top w:val="nil"/>
              <w:left w:val="single" w:sz="7" w:space="0" w:color="000000"/>
              <w:bottom w:val="single" w:sz="7" w:space="0" w:color="000000"/>
              <w:right w:val="single" w:sz="7" w:space="0" w:color="000000"/>
            </w:tcBorders>
          </w:tcPr>
          <w:p w:rsidR="00AD71F6" w:rsidRDefault="00AD71F6">
            <w:pPr>
              <w:pStyle w:val="TableParagraph"/>
              <w:kinsoku w:val="0"/>
              <w:overflowPunct w:val="0"/>
              <w:jc w:val="right"/>
              <w:rPr>
                <w:rFonts w:ascii="Times New Roman" w:hAnsi="Times New Roman" w:cs="Times New Roman"/>
              </w:rPr>
            </w:pPr>
            <w:r>
              <w:rPr>
                <w:sz w:val="20"/>
                <w:szCs w:val="20"/>
              </w:rPr>
              <w:t>Red Butte 4 Snow Course</w:t>
            </w:r>
          </w:p>
        </w:tc>
        <w:tc>
          <w:tcPr>
            <w:tcW w:w="1073" w:type="dxa"/>
            <w:tcBorders>
              <w:top w:val="nil"/>
              <w:left w:val="single" w:sz="7" w:space="0" w:color="000000"/>
              <w:bottom w:val="single" w:sz="7" w:space="0" w:color="000000"/>
              <w:right w:val="nil"/>
            </w:tcBorders>
          </w:tcPr>
          <w:p w:rsidR="00AD71F6" w:rsidRDefault="00AD71F6">
            <w:pPr>
              <w:pStyle w:val="TableParagraph"/>
              <w:kinsoku w:val="0"/>
              <w:overflowPunct w:val="0"/>
              <w:ind w:left="290" w:right="287"/>
              <w:rPr>
                <w:rFonts w:ascii="Times New Roman" w:hAnsi="Times New Roman" w:cs="Times New Roman"/>
              </w:rPr>
            </w:pPr>
            <w:r>
              <w:rPr>
                <w:sz w:val="20"/>
                <w:szCs w:val="20"/>
              </w:rPr>
              <w:t>3000</w:t>
            </w:r>
          </w:p>
        </w:tc>
        <w:tc>
          <w:tcPr>
            <w:tcW w:w="1165" w:type="dxa"/>
            <w:tcBorders>
              <w:top w:val="nil"/>
              <w:left w:val="nil"/>
              <w:bottom w:val="single" w:sz="7" w:space="0" w:color="000000"/>
              <w:right w:val="nil"/>
            </w:tcBorders>
          </w:tcPr>
          <w:p w:rsidR="00AD71F6" w:rsidRDefault="00AD71F6">
            <w:pPr>
              <w:pStyle w:val="TableParagraph"/>
              <w:kinsoku w:val="0"/>
              <w:overflowPunct w:val="0"/>
              <w:ind w:right="276"/>
              <w:jc w:val="right"/>
              <w:rPr>
                <w:rFonts w:ascii="Times New Roman" w:hAnsi="Times New Roman" w:cs="Times New Roman"/>
              </w:rPr>
            </w:pPr>
            <w:r>
              <w:rPr>
                <w:sz w:val="20"/>
                <w:szCs w:val="20"/>
              </w:rPr>
              <w:t>30-Dec</w:t>
            </w:r>
          </w:p>
        </w:tc>
        <w:tc>
          <w:tcPr>
            <w:tcW w:w="883" w:type="dxa"/>
            <w:tcBorders>
              <w:top w:val="nil"/>
              <w:left w:val="nil"/>
              <w:bottom w:val="single" w:sz="7" w:space="0" w:color="000000"/>
              <w:right w:val="nil"/>
            </w:tcBorders>
          </w:tcPr>
          <w:p w:rsidR="00AD71F6" w:rsidRDefault="00AD71F6">
            <w:pPr>
              <w:pStyle w:val="TableParagraph"/>
              <w:kinsoku w:val="0"/>
              <w:overflowPunct w:val="0"/>
              <w:ind w:right="21"/>
              <w:rPr>
                <w:rFonts w:ascii="Times New Roman" w:hAnsi="Times New Roman" w:cs="Times New Roman"/>
              </w:rPr>
            </w:pPr>
            <w:r>
              <w:rPr>
                <w:w w:val="99"/>
                <w:sz w:val="20"/>
                <w:szCs w:val="20"/>
              </w:rPr>
              <w:t>0</w:t>
            </w:r>
          </w:p>
        </w:tc>
        <w:tc>
          <w:tcPr>
            <w:tcW w:w="939" w:type="dxa"/>
            <w:tcBorders>
              <w:top w:val="nil"/>
              <w:left w:val="nil"/>
              <w:bottom w:val="single" w:sz="7" w:space="0" w:color="000000"/>
              <w:right w:val="nil"/>
            </w:tcBorders>
          </w:tcPr>
          <w:p w:rsidR="00AD71F6" w:rsidRDefault="00AD71F6">
            <w:pPr>
              <w:pStyle w:val="TableParagraph"/>
              <w:kinsoku w:val="0"/>
              <w:overflowPunct w:val="0"/>
              <w:ind w:right="327"/>
              <w:jc w:val="right"/>
              <w:rPr>
                <w:rFonts w:ascii="Times New Roman" w:hAnsi="Times New Roman" w:cs="Times New Roman"/>
              </w:rPr>
            </w:pPr>
            <w:r>
              <w:rPr>
                <w:w w:val="95"/>
                <w:sz w:val="20"/>
                <w:szCs w:val="20"/>
              </w:rPr>
              <w:t>0.0</w:t>
            </w:r>
          </w:p>
        </w:tc>
        <w:tc>
          <w:tcPr>
            <w:tcW w:w="913" w:type="dxa"/>
            <w:tcBorders>
              <w:top w:val="nil"/>
              <w:left w:val="nil"/>
              <w:bottom w:val="single" w:sz="7" w:space="0" w:color="000000"/>
              <w:right w:val="nil"/>
            </w:tcBorders>
          </w:tcPr>
          <w:p w:rsidR="00AD71F6" w:rsidRDefault="00AD71F6">
            <w:pPr>
              <w:rPr>
                <w:rFonts w:ascii="Times New Roman" w:hAnsi="Times New Roman" w:cs="Times New Roman"/>
              </w:rPr>
            </w:pPr>
          </w:p>
        </w:tc>
        <w:tc>
          <w:tcPr>
            <w:tcW w:w="930" w:type="dxa"/>
            <w:tcBorders>
              <w:top w:val="nil"/>
              <w:left w:val="nil"/>
              <w:bottom w:val="single" w:sz="7" w:space="0" w:color="000000"/>
              <w:right w:val="nil"/>
            </w:tcBorders>
          </w:tcPr>
          <w:p w:rsidR="00AD71F6" w:rsidRDefault="00AD71F6">
            <w:pPr>
              <w:pStyle w:val="TableParagraph"/>
              <w:kinsoku w:val="0"/>
              <w:overflowPunct w:val="0"/>
              <w:ind w:left="102" w:right="86"/>
              <w:rPr>
                <w:rFonts w:ascii="Times New Roman" w:hAnsi="Times New Roman" w:cs="Times New Roman"/>
              </w:rPr>
            </w:pPr>
            <w:r>
              <w:rPr>
                <w:sz w:val="20"/>
                <w:szCs w:val="20"/>
              </w:rPr>
              <w:t>0.0</w:t>
            </w:r>
          </w:p>
        </w:tc>
        <w:tc>
          <w:tcPr>
            <w:tcW w:w="925" w:type="dxa"/>
            <w:tcBorders>
              <w:top w:val="nil"/>
              <w:left w:val="nil"/>
              <w:bottom w:val="single" w:sz="7" w:space="0" w:color="000000"/>
              <w:right w:val="single" w:sz="7" w:space="0" w:color="000000"/>
            </w:tcBorders>
          </w:tcPr>
          <w:p w:rsidR="00AD71F6" w:rsidRDefault="00AD71F6">
            <w:pPr>
              <w:rPr>
                <w:rFonts w:ascii="Times New Roman" w:hAnsi="Times New Roman" w:cs="Times New Roman"/>
              </w:rPr>
            </w:pPr>
          </w:p>
        </w:tc>
      </w:tr>
    </w:tbl>
    <w:p w:rsidR="00AD71F6" w:rsidRDefault="00AD71F6" w:rsidP="00AD71F6">
      <w:pPr>
        <w:pStyle w:val="BodyText"/>
        <w:kinsoku w:val="0"/>
        <w:overflowPunct w:val="0"/>
        <w:spacing w:before="6"/>
        <w:rPr>
          <w:sz w:val="14"/>
          <w:szCs w:val="14"/>
        </w:rPr>
      </w:pPr>
    </w:p>
    <w:p w:rsidR="00AD71F6" w:rsidRDefault="00AD71F6" w:rsidP="00AD71F6">
      <w:pPr>
        <w:pStyle w:val="BodyText"/>
        <w:kinsoku w:val="0"/>
        <w:overflowPunct w:val="0"/>
        <w:ind w:left="5690" w:right="4651"/>
        <w:jc w:val="center"/>
        <w:rPr>
          <w:b w:val="0"/>
          <w:bCs w:val="0"/>
          <w:sz w:val="16"/>
          <w:szCs w:val="16"/>
        </w:rPr>
      </w:pPr>
      <w:r>
        <w:rPr>
          <w:b w:val="0"/>
          <w:bCs w:val="0"/>
          <w:sz w:val="16"/>
          <w:szCs w:val="16"/>
        </w:rPr>
        <w:t>24</w:t>
      </w:r>
    </w:p>
    <w:p w:rsidR="007F1633" w:rsidRPr="007F1633" w:rsidRDefault="007F1633" w:rsidP="007F1633">
      <w:pPr>
        <w:shd w:val="clear" w:color="auto" w:fill="FFFFFF"/>
        <w:spacing w:after="150" w:line="600" w:lineRule="atLeast"/>
        <w:textAlignment w:val="center"/>
        <w:outlineLvl w:val="0"/>
        <w:rPr>
          <w:rFonts w:ascii="Helvetica" w:eastAsia="Times New Roman" w:hAnsi="Helvetica" w:cs="Helvetica"/>
          <w:color w:val="4D4D4D"/>
          <w:kern w:val="36"/>
          <w:sz w:val="54"/>
          <w:szCs w:val="54"/>
        </w:rPr>
      </w:pPr>
      <w:r w:rsidRPr="007F1633">
        <w:rPr>
          <w:rFonts w:ascii="Helvetica" w:eastAsia="Times New Roman" w:hAnsi="Helvetica" w:cs="Helvetica"/>
          <w:color w:val="4D4D4D"/>
          <w:kern w:val="36"/>
          <w:sz w:val="54"/>
          <w:szCs w:val="54"/>
        </w:rPr>
        <w:t>Mount Shasta, California Average Snowfall</w:t>
      </w:r>
    </w:p>
    <w:p w:rsidR="007F1633" w:rsidRPr="007F1633" w:rsidRDefault="007F1633" w:rsidP="007F1633">
      <w:pPr>
        <w:shd w:val="clear" w:color="auto" w:fill="FFFFFF"/>
        <w:spacing w:after="150" w:line="300" w:lineRule="atLeast"/>
        <w:rPr>
          <w:rFonts w:ascii="Helvetica" w:eastAsia="Times New Roman" w:hAnsi="Helvetica" w:cs="Helvetica"/>
          <w:color w:val="7A7A7A"/>
          <w:sz w:val="21"/>
          <w:szCs w:val="21"/>
        </w:rPr>
      </w:pPr>
      <w:r w:rsidRPr="007F1633">
        <w:rPr>
          <w:rFonts w:ascii="Helvetica" w:eastAsia="Times New Roman" w:hAnsi="Helvetica" w:cs="Helvetica"/>
          <w:color w:val="7A7A7A"/>
          <w:sz w:val="21"/>
          <w:szCs w:val="21"/>
        </w:rPr>
        <w:t>Mount Shasta has had an average annual snowfall of </w:t>
      </w:r>
      <w:r w:rsidRPr="007F1633">
        <w:rPr>
          <w:rFonts w:ascii="Helvetica" w:eastAsia="Times New Roman" w:hAnsi="Helvetica" w:cs="Helvetica"/>
          <w:b/>
          <w:bCs/>
          <w:color w:val="7A7A7A"/>
          <w:sz w:val="21"/>
          <w:szCs w:val="21"/>
        </w:rPr>
        <w:t>91.8 inches</w:t>
      </w:r>
      <w:r w:rsidRPr="007F1633">
        <w:rPr>
          <w:rFonts w:ascii="Helvetica" w:eastAsia="Times New Roman" w:hAnsi="Helvetica" w:cs="Helvetica"/>
          <w:color w:val="7A7A7A"/>
          <w:sz w:val="21"/>
          <w:szCs w:val="21"/>
        </w:rPr>
        <w:t> over the last 30 years, which is </w:t>
      </w:r>
      <w:r w:rsidRPr="007F1633">
        <w:rPr>
          <w:rFonts w:ascii="Helvetica" w:eastAsia="Times New Roman" w:hAnsi="Helvetica" w:cs="Helvetica"/>
          <w:color w:val="118811"/>
          <w:sz w:val="21"/>
          <w:szCs w:val="21"/>
        </w:rPr>
        <w:t>310% more</w:t>
      </w:r>
      <w:r w:rsidRPr="007F1633">
        <w:rPr>
          <w:rFonts w:ascii="Helvetica" w:eastAsia="Times New Roman" w:hAnsi="Helvetica" w:cs="Helvetica"/>
          <w:color w:val="7A7A7A"/>
          <w:sz w:val="21"/>
          <w:szCs w:val="21"/>
        </w:rPr>
        <w:t> than the national average (22.4 inches). </w:t>
      </w:r>
      <w:r w:rsidRPr="007F1633">
        <w:rPr>
          <w:rFonts w:ascii="Helvetica" w:eastAsia="Times New Roman" w:hAnsi="Helvetica" w:cs="Helvetica"/>
          <w:b/>
          <w:bCs/>
          <w:color w:val="7A7A7A"/>
          <w:sz w:val="21"/>
          <w:szCs w:val="21"/>
        </w:rPr>
        <w:t>71%</w:t>
      </w:r>
      <w:r w:rsidRPr="007F1633">
        <w:rPr>
          <w:rFonts w:ascii="Helvetica" w:eastAsia="Times New Roman" w:hAnsi="Helvetica" w:cs="Helvetica"/>
          <w:color w:val="7A7A7A"/>
          <w:sz w:val="21"/>
          <w:szCs w:val="21"/>
        </w:rPr>
        <w:t> of Mount Shasta's snow fell during the winter months.</w:t>
      </w:r>
    </w:p>
    <w:p w:rsidR="007F1633" w:rsidRPr="007F1633" w:rsidRDefault="007F1633" w:rsidP="007F1633">
      <w:pPr>
        <w:shd w:val="clear" w:color="auto" w:fill="FFFFFF"/>
        <w:spacing w:before="150" w:after="0" w:line="300" w:lineRule="atLeast"/>
        <w:rPr>
          <w:rFonts w:ascii="Helvetica" w:eastAsia="Times New Roman" w:hAnsi="Helvetica" w:cs="Helvetica"/>
          <w:color w:val="7A7A7A"/>
          <w:sz w:val="21"/>
          <w:szCs w:val="21"/>
        </w:rPr>
      </w:pPr>
      <w:r w:rsidRPr="007F1633">
        <w:rPr>
          <w:rFonts w:ascii="Helvetica" w:eastAsia="Times New Roman" w:hAnsi="Helvetica" w:cs="Helvetica"/>
          <w:color w:val="7A7A7A"/>
          <w:sz w:val="21"/>
          <w:szCs w:val="21"/>
        </w:rPr>
        <w:t>The record snowfall was </w:t>
      </w:r>
      <w:r w:rsidRPr="007F1633">
        <w:rPr>
          <w:rFonts w:ascii="Helvetica" w:eastAsia="Times New Roman" w:hAnsi="Helvetica" w:cs="Helvetica"/>
          <w:b/>
          <w:bCs/>
          <w:color w:val="7A7A7A"/>
          <w:sz w:val="21"/>
          <w:szCs w:val="21"/>
        </w:rPr>
        <w:t>54.0 inches on February 16, 1959</w:t>
      </w:r>
      <w:r w:rsidRPr="007F1633">
        <w:rPr>
          <w:rFonts w:ascii="Helvetica" w:eastAsia="Times New Roman" w:hAnsi="Helvetica" w:cs="Helvetica"/>
          <w:color w:val="7A7A7A"/>
          <w:sz w:val="21"/>
          <w:szCs w:val="21"/>
        </w:rPr>
        <w:t> - </w:t>
      </w:r>
      <w:r w:rsidRPr="007F1633">
        <w:rPr>
          <w:rFonts w:ascii="Helvetica" w:eastAsia="Times New Roman" w:hAnsi="Helvetica" w:cs="Helvetica"/>
          <w:color w:val="118811"/>
          <w:sz w:val="21"/>
          <w:szCs w:val="21"/>
        </w:rPr>
        <w:t>200% more</w:t>
      </w:r>
      <w:r w:rsidRPr="007F1633">
        <w:rPr>
          <w:rFonts w:ascii="Helvetica" w:eastAsia="Times New Roman" w:hAnsi="Helvetica" w:cs="Helvetica"/>
          <w:color w:val="7A7A7A"/>
          <w:sz w:val="21"/>
          <w:szCs w:val="21"/>
        </w:rPr>
        <w:t> than the national average for snowfall records.</w:t>
      </w:r>
    </w:p>
    <w:p w:rsidR="007F1633" w:rsidRPr="007F1633" w:rsidRDefault="007F1633" w:rsidP="007F1633">
      <w:pPr>
        <w:shd w:val="clear" w:color="auto" w:fill="2BB8F6"/>
        <w:spacing w:after="150" w:line="240" w:lineRule="auto"/>
        <w:jc w:val="center"/>
        <w:textAlignment w:val="baseline"/>
        <w:rPr>
          <w:rFonts w:ascii="Helvetica" w:eastAsia="Times New Roman" w:hAnsi="Helvetica" w:cs="Helvetica"/>
          <w:b/>
          <w:bCs/>
          <w:color w:val="FFFFFF"/>
          <w:sz w:val="23"/>
          <w:szCs w:val="23"/>
        </w:rPr>
      </w:pPr>
      <w:r w:rsidRPr="007F1633">
        <w:rPr>
          <w:rFonts w:ascii="Helvetica" w:eastAsia="Times New Roman" w:hAnsi="Helvetica" w:cs="Helvetica"/>
          <w:b/>
          <w:bCs/>
          <w:color w:val="FFFFFF"/>
          <w:sz w:val="23"/>
          <w:szCs w:val="23"/>
        </w:rPr>
        <w:t xml:space="preserve">See all Average </w:t>
      </w:r>
      <w:r w:rsidR="007B16F0">
        <w:rPr>
          <w:noProof/>
        </w:rPr>
        <w:drawing>
          <wp:inline distT="0" distB="0" distL="0" distR="0" wp14:anchorId="3BA5CA5A" wp14:editId="6250BA7B">
            <wp:extent cx="5935345" cy="1908810"/>
            <wp:effectExtent l="0" t="0" r="8255" b="0"/>
            <wp:docPr id="1" name="Picture 1" descr="C:\Users\caroline.burdick\Downloads\Screen Shot 2017-01-30 at 2.1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burdick\Downloads\Screen Shot 2017-01-30 at 2.13.09 PM.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69000"/>
                              </a14:imgEffect>
                            </a14:imgLayer>
                          </a14:imgProps>
                        </a:ext>
                        <a:ext uri="{28A0092B-C50C-407E-A947-70E740481C1C}">
                          <a14:useLocalDpi xmlns:a14="http://schemas.microsoft.com/office/drawing/2010/main" val="0"/>
                        </a:ext>
                      </a:extLst>
                    </a:blip>
                    <a:srcRect/>
                    <a:stretch>
                      <a:fillRect/>
                    </a:stretch>
                  </pic:blipFill>
                  <pic:spPr bwMode="auto">
                    <a:xfrm>
                      <a:off x="0" y="0"/>
                      <a:ext cx="5935345" cy="1908810"/>
                    </a:xfrm>
                    <a:prstGeom prst="rect">
                      <a:avLst/>
                    </a:prstGeom>
                    <a:noFill/>
                    <a:ln>
                      <a:noFill/>
                    </a:ln>
                  </pic:spPr>
                </pic:pic>
              </a:graphicData>
            </a:graphic>
          </wp:inline>
        </w:drawing>
      </w:r>
      <w:r w:rsidRPr="007F1633">
        <w:rPr>
          <w:rFonts w:ascii="Helvetica" w:eastAsia="Times New Roman" w:hAnsi="Helvetica" w:cs="Helvetica"/>
          <w:b/>
          <w:bCs/>
          <w:color w:val="FFFFFF"/>
          <w:sz w:val="23"/>
          <w:szCs w:val="23"/>
        </w:rPr>
        <w:t>Snowfall</w:t>
      </w:r>
    </w:p>
    <w:p w:rsidR="00530105" w:rsidRDefault="007B16F0" w:rsidP="007B16F0">
      <w:pPr>
        <w:jc w:val="right"/>
      </w:pPr>
      <w:r>
        <w:rPr>
          <w:noProof/>
        </w:rPr>
        <w:lastRenderedPageBreak/>
        <w:drawing>
          <wp:inline distT="0" distB="0" distL="0" distR="0">
            <wp:extent cx="7341686" cy="5715000"/>
            <wp:effectExtent l="0" t="0" r="0" b="0"/>
            <wp:docPr id="2" name="Picture 2" descr="C:\Users\caroline.burdick\Downloads\Screen Shot 2017-01-30 at 2.13.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burdick\Downloads\Screen Shot 2017-01-30 at 2.13.33 PM.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346910" cy="5719067"/>
                    </a:xfrm>
                    <a:prstGeom prst="rect">
                      <a:avLst/>
                    </a:prstGeom>
                    <a:noFill/>
                    <a:ln>
                      <a:noFill/>
                    </a:ln>
                  </pic:spPr>
                </pic:pic>
              </a:graphicData>
            </a:graphic>
          </wp:inline>
        </w:drawing>
      </w:r>
      <w:r>
        <w:rPr>
          <w:noProof/>
        </w:rPr>
        <w:drawing>
          <wp:inline distT="0" distB="0" distL="0" distR="0">
            <wp:extent cx="6656526" cy="1710690"/>
            <wp:effectExtent l="0" t="0" r="0" b="3810"/>
            <wp:docPr id="3" name="Picture 3" descr="C:\Users\caroline.burdick\Downloads\Screen Shot 2017-01-30 at 2.1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burdick\Downloads\Screen Shot 2017-01-30 at 2.13.49 PM.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6701634" cy="1722283"/>
                    </a:xfrm>
                    <a:prstGeom prst="rect">
                      <a:avLst/>
                    </a:prstGeom>
                    <a:noFill/>
                    <a:ln>
                      <a:noFill/>
                    </a:ln>
                  </pic:spPr>
                </pic:pic>
              </a:graphicData>
            </a:graphic>
          </wp:inline>
        </w:drawing>
      </w:r>
      <w:r>
        <w:rPr>
          <w:noProof/>
        </w:rPr>
        <w:lastRenderedPageBreak/>
        <w:drawing>
          <wp:inline distT="0" distB="0" distL="0" distR="0" wp14:anchorId="5307DBCD" wp14:editId="6F882B0D">
            <wp:extent cx="7518439" cy="5648632"/>
            <wp:effectExtent l="0" t="0" r="6350" b="9525"/>
            <wp:docPr id="4" name="Picture 4" descr="C:\Users\caroline.burdick\Downloads\Screen Shot 2017-01-30 at 2.14.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ine.burdick\Downloads\Screen Shot 2017-01-30 at 2.14.02 PM.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523311" cy="5652292"/>
                    </a:xfrm>
                    <a:prstGeom prst="rect">
                      <a:avLst/>
                    </a:prstGeom>
                    <a:noFill/>
                    <a:ln>
                      <a:noFill/>
                    </a:ln>
                  </pic:spPr>
                </pic:pic>
              </a:graphicData>
            </a:graphic>
          </wp:inline>
        </w:drawing>
      </w:r>
      <w:r>
        <w:rPr>
          <w:noProof/>
        </w:rPr>
        <w:lastRenderedPageBreak/>
        <w:drawing>
          <wp:inline distT="0" distB="0" distL="0" distR="0" wp14:anchorId="4B843E67" wp14:editId="2B5ADF71">
            <wp:extent cx="7423288" cy="5538019"/>
            <wp:effectExtent l="0" t="0" r="6350" b="5715"/>
            <wp:docPr id="5" name="Picture 5" descr="C:\Users\caroline.burdick\Downloads\Screen Shot 2017-01-30 at 2.14.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burdick\Downloads\Screen Shot 2017-01-30 at 2.14.45 PM.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425606" cy="5539748"/>
                    </a:xfrm>
                    <a:prstGeom prst="rect">
                      <a:avLst/>
                    </a:prstGeom>
                    <a:noFill/>
                    <a:ln>
                      <a:noFill/>
                    </a:ln>
                  </pic:spPr>
                </pic:pic>
              </a:graphicData>
            </a:graphic>
          </wp:inline>
        </w:drawing>
      </w:r>
      <w:r>
        <w:rPr>
          <w:noProof/>
        </w:rPr>
        <w:lastRenderedPageBreak/>
        <w:drawing>
          <wp:inline distT="0" distB="0" distL="0" distR="0" wp14:anchorId="73875040" wp14:editId="291E9925">
            <wp:extent cx="7352170" cy="5663381"/>
            <wp:effectExtent l="0" t="0" r="1270" b="0"/>
            <wp:docPr id="6" name="Picture 6" descr="C:\Users\caroline.burdick\Downloads\Screen Shot 2017-01-30 at 2.1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line.burdick\Downloads\Screen Shot 2017-01-30 at 2.14.57 PM.pn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79000"/>
                              </a14:imgEffect>
                            </a14:imgLayer>
                          </a14:imgProps>
                        </a:ext>
                        <a:ext uri="{28A0092B-C50C-407E-A947-70E740481C1C}">
                          <a14:useLocalDpi xmlns:a14="http://schemas.microsoft.com/office/drawing/2010/main" val="0"/>
                        </a:ext>
                      </a:extLst>
                    </a:blip>
                    <a:srcRect/>
                    <a:stretch>
                      <a:fillRect/>
                    </a:stretch>
                  </pic:blipFill>
                  <pic:spPr bwMode="auto">
                    <a:xfrm>
                      <a:off x="0" y="0"/>
                      <a:ext cx="7361080" cy="5670245"/>
                    </a:xfrm>
                    <a:prstGeom prst="rect">
                      <a:avLst/>
                    </a:prstGeom>
                    <a:noFill/>
                    <a:ln>
                      <a:noFill/>
                    </a:ln>
                  </pic:spPr>
                </pic:pic>
              </a:graphicData>
            </a:graphic>
          </wp:inline>
        </w:drawing>
      </w:r>
      <w:r>
        <w:rPr>
          <w:noProof/>
        </w:rPr>
        <w:lastRenderedPageBreak/>
        <w:drawing>
          <wp:inline distT="0" distB="0" distL="0" distR="0">
            <wp:extent cx="7068673" cy="4260715"/>
            <wp:effectExtent l="0" t="0" r="0" b="6985"/>
            <wp:docPr id="7" name="Picture 7" descr="C:\Users\caroline.burdick\Downloads\Screen Shot 2017-01-30 at 2.1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ine.burdick\Downloads\Screen Shot 2017-01-30 at 2.15.45 PM.pn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7072069" cy="4262762"/>
                    </a:xfrm>
                    <a:prstGeom prst="rect">
                      <a:avLst/>
                    </a:prstGeom>
                    <a:noFill/>
                    <a:ln>
                      <a:noFill/>
                    </a:ln>
                  </pic:spPr>
                </pic:pic>
              </a:graphicData>
            </a:graphic>
          </wp:inline>
        </w:drawing>
      </w:r>
      <w:r>
        <w:rPr>
          <w:noProof/>
        </w:rPr>
        <w:drawing>
          <wp:inline distT="0" distB="0" distL="0" distR="0">
            <wp:extent cx="5935345" cy="4443730"/>
            <wp:effectExtent l="0" t="0" r="8255" b="0"/>
            <wp:docPr id="8" name="Picture 8" descr="C:\Users\caroline.burdick\Downloads\Screen Shot 2017-01-30 at 2.15.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oline.burdick\Downloads\Screen Shot 2017-01-30 at 2.15.53 PM.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89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5345" cy="4443730"/>
                    </a:xfrm>
                    <a:prstGeom prst="rect">
                      <a:avLst/>
                    </a:prstGeom>
                    <a:noFill/>
                    <a:ln>
                      <a:noFill/>
                    </a:ln>
                  </pic:spPr>
                </pic:pic>
              </a:graphicData>
            </a:graphic>
          </wp:inline>
        </w:drawing>
      </w:r>
    </w:p>
    <w:p w:rsidR="007B16F0" w:rsidRDefault="007A116D" w:rsidP="007B16F0">
      <w:pPr>
        <w:jc w:val="center"/>
      </w:pPr>
      <w:r w:rsidRPr="007A116D">
        <w:rPr>
          <w:b/>
          <w:sz w:val="38"/>
        </w:rPr>
        <w:lastRenderedPageBreak/>
        <w:t>Mt. Ashland Snow Report</w:t>
      </w:r>
      <w:r w:rsidR="007B16F0">
        <w:br/>
      </w:r>
      <w:r w:rsidR="007B16F0">
        <w:rPr>
          <w:noProof/>
        </w:rPr>
        <w:drawing>
          <wp:inline distT="0" distB="0" distL="0" distR="0" wp14:anchorId="2C0604F1" wp14:editId="7DF864DE">
            <wp:extent cx="6247762" cy="5238194"/>
            <wp:effectExtent l="0" t="0" r="1270" b="635"/>
            <wp:docPr id="9" name="Picture 9" descr="C:\Users\caroline.burdick\Downloads\Screen Shot 2017-01-30 at 2.2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ine.burdick\Downloads\Screen Shot 2017-01-30 at 2.25.27 PM.pn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44000"/>
                              </a14:imgEffect>
                            </a14:imgLayer>
                          </a14:imgProps>
                        </a:ext>
                        <a:ext uri="{28A0092B-C50C-407E-A947-70E740481C1C}">
                          <a14:useLocalDpi xmlns:a14="http://schemas.microsoft.com/office/drawing/2010/main" val="0"/>
                        </a:ext>
                      </a:extLst>
                    </a:blip>
                    <a:srcRect/>
                    <a:stretch>
                      <a:fillRect/>
                    </a:stretch>
                  </pic:blipFill>
                  <pic:spPr bwMode="auto">
                    <a:xfrm>
                      <a:off x="0" y="0"/>
                      <a:ext cx="6251532" cy="5241355"/>
                    </a:xfrm>
                    <a:prstGeom prst="rect">
                      <a:avLst/>
                    </a:prstGeom>
                    <a:noFill/>
                    <a:ln>
                      <a:noFill/>
                    </a:ln>
                  </pic:spPr>
                </pic:pic>
              </a:graphicData>
            </a:graphic>
          </wp:inline>
        </w:drawing>
      </w:r>
      <w:r w:rsidR="007B16F0">
        <w:rPr>
          <w:noProof/>
        </w:rPr>
        <w:drawing>
          <wp:inline distT="0" distB="0" distL="0" distR="0" wp14:anchorId="335F5382" wp14:editId="6B138248">
            <wp:extent cx="6479513" cy="3523041"/>
            <wp:effectExtent l="0" t="0" r="0" b="1270"/>
            <wp:docPr id="10" name="Picture 10" descr="C:\Users\caroline.burdick\Downloads\Screen Shot 2017-01-30 at 2.2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ine.burdick\Downloads\Screen Shot 2017-01-30 at 2.25.43 PM.pn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1000"/>
                              </a14:imgEffect>
                            </a14:imgLayer>
                          </a14:imgProps>
                        </a:ext>
                        <a:ext uri="{28A0092B-C50C-407E-A947-70E740481C1C}">
                          <a14:useLocalDpi xmlns:a14="http://schemas.microsoft.com/office/drawing/2010/main" val="0"/>
                        </a:ext>
                      </a:extLst>
                    </a:blip>
                    <a:srcRect l="5759" t="22891" r="7550"/>
                    <a:stretch/>
                  </pic:blipFill>
                  <pic:spPr bwMode="auto">
                    <a:xfrm>
                      <a:off x="0" y="0"/>
                      <a:ext cx="6504308" cy="3536523"/>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GoBack"/>
      <w:bookmarkEnd w:id="5"/>
    </w:p>
    <w:p w:rsidR="007B16F0" w:rsidRDefault="007B16F0" w:rsidP="007B16F0">
      <w:pP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23.5pt;height:676.8pt" o:ole="">
            <v:imagedata r:id="rId31" o:title=""/>
          </v:shape>
          <o:OLEObject Type="Embed" ProgID="Acrobat.Document.DC" ShapeID="_x0000_i1035" DrawAspect="Content" ObjectID="_1547296092" r:id="rId32"/>
        </w:object>
      </w:r>
    </w:p>
    <w:p w:rsidR="007B16F0" w:rsidRDefault="007B16F0" w:rsidP="007B16F0">
      <w:pPr>
        <w:jc w:val="center"/>
      </w:pPr>
    </w:p>
    <w:p w:rsidR="007B16F0" w:rsidRDefault="007A116D" w:rsidP="007B16F0">
      <w:pPr>
        <w:jc w:val="center"/>
        <w:rPr>
          <w:b/>
          <w:bCs/>
          <w:sz w:val="36"/>
          <w:szCs w:val="36"/>
        </w:rPr>
      </w:pPr>
      <w:r>
        <w:rPr>
          <w:b/>
          <w:bCs/>
          <w:sz w:val="36"/>
          <w:szCs w:val="36"/>
        </w:rPr>
        <w:lastRenderedPageBreak/>
        <w:t xml:space="preserve">Crater Lake National Park, </w:t>
      </w:r>
      <w:r w:rsidR="007B16F0">
        <w:rPr>
          <w:b/>
          <w:bCs/>
          <w:sz w:val="36"/>
          <w:szCs w:val="36"/>
        </w:rPr>
        <w:t>Saturday, January 21, 2017</w:t>
      </w:r>
    </w:p>
    <w:p w:rsidR="007A116D" w:rsidRDefault="007A116D" w:rsidP="007A116D">
      <w:pPr>
        <w:pStyle w:val="ListParagraph"/>
        <w:kinsoku w:val="0"/>
        <w:overflowPunct w:val="0"/>
        <w:ind w:left="112"/>
        <w:jc w:val="center"/>
        <w:rPr>
          <w:sz w:val="20"/>
          <w:szCs w:val="20"/>
        </w:rPr>
      </w:pPr>
      <w:r>
        <w:rPr>
          <w:noProof/>
          <w:sz w:val="20"/>
          <w:szCs w:val="20"/>
        </w:rPr>
        <w:drawing>
          <wp:inline distT="0" distB="0" distL="0" distR="0">
            <wp:extent cx="6128425" cy="8517956"/>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4877" cy="8526924"/>
                    </a:xfrm>
                    <a:prstGeom prst="rect">
                      <a:avLst/>
                    </a:prstGeom>
                    <a:noFill/>
                    <a:ln>
                      <a:noFill/>
                    </a:ln>
                  </pic:spPr>
                </pic:pic>
              </a:graphicData>
            </a:graphic>
          </wp:inline>
        </w:drawing>
      </w:r>
    </w:p>
    <w:p w:rsidR="007B16F0" w:rsidRDefault="007B16F0" w:rsidP="007B16F0">
      <w:pPr>
        <w:jc w:val="center"/>
      </w:pPr>
    </w:p>
    <w:sectPr w:rsidR="007B16F0" w:rsidSect="007B16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633"/>
    <w:rsid w:val="007A116D"/>
    <w:rsid w:val="007B16F0"/>
    <w:rsid w:val="007F1633"/>
    <w:rsid w:val="00A53F08"/>
    <w:rsid w:val="00AD71F6"/>
    <w:rsid w:val="00D95880"/>
    <w:rsid w:val="00DD330C"/>
    <w:rsid w:val="00F23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4"/>
    <o:shapelayout v:ext="edit">
      <o:idmap v:ext="edit" data="1"/>
    </o:shapelayout>
  </w:shapeDefaults>
  <w:decimalSymbol w:val="."/>
  <w:listSeparator w:val=","/>
  <w14:docId w14:val="583ACCB6"/>
  <w15:chartTrackingRefBased/>
  <w15:docId w15:val="{03471DAE-FF71-4837-9AD7-DF95028F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16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633"/>
    <w:rPr>
      <w:rFonts w:ascii="Times New Roman" w:eastAsia="Times New Roman" w:hAnsi="Times New Roman" w:cs="Times New Roman"/>
      <w:b/>
      <w:bCs/>
      <w:kern w:val="36"/>
      <w:sz w:val="48"/>
      <w:szCs w:val="48"/>
    </w:rPr>
  </w:style>
  <w:style w:type="character" w:customStyle="1" w:styleId="fn">
    <w:name w:val="fn"/>
    <w:basedOn w:val="DefaultParagraphFont"/>
    <w:rsid w:val="007F1633"/>
  </w:style>
  <w:style w:type="paragraph" w:customStyle="1" w:styleId="md-p">
    <w:name w:val="md-p"/>
    <w:basedOn w:val="Normal"/>
    <w:rsid w:val="007F16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F1633"/>
  </w:style>
  <w:style w:type="character" w:customStyle="1" w:styleId="md-bold">
    <w:name w:val="md-bold"/>
    <w:basedOn w:val="DefaultParagraphFont"/>
    <w:rsid w:val="007F1633"/>
  </w:style>
  <w:style w:type="character" w:customStyle="1" w:styleId="md-better">
    <w:name w:val="md-better"/>
    <w:basedOn w:val="DefaultParagraphFont"/>
    <w:rsid w:val="007F1633"/>
  </w:style>
  <w:style w:type="paragraph" w:styleId="ListParagraph">
    <w:name w:val="List Paragraph"/>
    <w:basedOn w:val="Normal"/>
    <w:uiPriority w:val="1"/>
    <w:qFormat/>
    <w:rsid w:val="007A116D"/>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7A1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16D"/>
    <w:rPr>
      <w:rFonts w:ascii="Segoe UI" w:hAnsi="Segoe UI" w:cs="Segoe UI"/>
      <w:sz w:val="18"/>
      <w:szCs w:val="18"/>
    </w:rPr>
  </w:style>
  <w:style w:type="paragraph" w:styleId="BodyText">
    <w:name w:val="Body Text"/>
    <w:basedOn w:val="Normal"/>
    <w:link w:val="BodyTextChar"/>
    <w:uiPriority w:val="1"/>
    <w:qFormat/>
    <w:rsid w:val="00AD71F6"/>
    <w:pPr>
      <w:autoSpaceDE w:val="0"/>
      <w:autoSpaceDN w:val="0"/>
      <w:adjustRightInd w:val="0"/>
      <w:spacing w:after="0" w:line="240" w:lineRule="auto"/>
    </w:pPr>
    <w:rPr>
      <w:rFonts w:ascii="Arial" w:hAnsi="Arial" w:cs="Arial"/>
      <w:b/>
      <w:bCs/>
      <w:sz w:val="20"/>
      <w:szCs w:val="20"/>
    </w:rPr>
  </w:style>
  <w:style w:type="character" w:customStyle="1" w:styleId="BodyTextChar">
    <w:name w:val="Body Text Char"/>
    <w:basedOn w:val="DefaultParagraphFont"/>
    <w:link w:val="BodyText"/>
    <w:uiPriority w:val="1"/>
    <w:rsid w:val="00AD71F6"/>
    <w:rPr>
      <w:rFonts w:ascii="Arial" w:hAnsi="Arial" w:cs="Arial"/>
      <w:b/>
      <w:bCs/>
      <w:sz w:val="20"/>
      <w:szCs w:val="20"/>
    </w:rPr>
  </w:style>
  <w:style w:type="paragraph" w:customStyle="1" w:styleId="TableParagraph">
    <w:name w:val="Table Paragraph"/>
    <w:basedOn w:val="Normal"/>
    <w:uiPriority w:val="1"/>
    <w:qFormat/>
    <w:rsid w:val="00AD71F6"/>
    <w:pPr>
      <w:autoSpaceDE w:val="0"/>
      <w:autoSpaceDN w:val="0"/>
      <w:adjustRightInd w:val="0"/>
      <w:spacing w:before="7" w:after="0" w:line="240" w:lineRule="auto"/>
      <w:jc w:val="center"/>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70137">
      <w:bodyDiv w:val="1"/>
      <w:marLeft w:val="0"/>
      <w:marRight w:val="0"/>
      <w:marTop w:val="0"/>
      <w:marBottom w:val="0"/>
      <w:divBdr>
        <w:top w:val="none" w:sz="0" w:space="0" w:color="auto"/>
        <w:left w:val="none" w:sz="0" w:space="0" w:color="auto"/>
        <w:bottom w:val="none" w:sz="0" w:space="0" w:color="auto"/>
        <w:right w:val="none" w:sz="0" w:space="0" w:color="auto"/>
      </w:divBdr>
      <w:divsChild>
        <w:div w:id="1711032690">
          <w:marLeft w:val="0"/>
          <w:marRight w:val="0"/>
          <w:marTop w:val="0"/>
          <w:marBottom w:val="0"/>
          <w:divBdr>
            <w:top w:val="none" w:sz="0" w:space="0" w:color="auto"/>
            <w:left w:val="none" w:sz="0" w:space="0" w:color="auto"/>
            <w:bottom w:val="none" w:sz="0" w:space="0" w:color="auto"/>
            <w:right w:val="none" w:sz="0" w:space="0" w:color="auto"/>
          </w:divBdr>
          <w:divsChild>
            <w:div w:id="1358700786">
              <w:marLeft w:val="0"/>
              <w:marRight w:val="0"/>
              <w:marTop w:val="0"/>
              <w:marBottom w:val="0"/>
              <w:divBdr>
                <w:top w:val="none" w:sz="0" w:space="0" w:color="auto"/>
                <w:left w:val="none" w:sz="0" w:space="0" w:color="auto"/>
                <w:bottom w:val="none" w:sz="0" w:space="0" w:color="auto"/>
                <w:right w:val="none" w:sz="0" w:space="0" w:color="auto"/>
              </w:divBdr>
              <w:divsChild>
                <w:div w:id="153035864">
                  <w:marLeft w:val="0"/>
                  <w:marRight w:val="0"/>
                  <w:marTop w:val="0"/>
                  <w:marBottom w:val="0"/>
                  <w:divBdr>
                    <w:top w:val="none" w:sz="0" w:space="0" w:color="auto"/>
                    <w:left w:val="none" w:sz="0" w:space="0" w:color="auto"/>
                    <w:bottom w:val="none" w:sz="0" w:space="0" w:color="auto"/>
                    <w:right w:val="none" w:sz="0" w:space="0" w:color="auto"/>
                  </w:divBdr>
                  <w:divsChild>
                    <w:div w:id="1909612670">
                      <w:marLeft w:val="0"/>
                      <w:marRight w:val="0"/>
                      <w:marTop w:val="0"/>
                      <w:marBottom w:val="195"/>
                      <w:divBdr>
                        <w:top w:val="none" w:sz="0" w:space="0" w:color="auto"/>
                        <w:left w:val="none" w:sz="0" w:space="0" w:color="auto"/>
                        <w:bottom w:val="none" w:sz="0" w:space="0" w:color="auto"/>
                        <w:right w:val="none" w:sz="0" w:space="0" w:color="auto"/>
                      </w:divBdr>
                      <w:divsChild>
                        <w:div w:id="622542315">
                          <w:marLeft w:val="0"/>
                          <w:marRight w:val="0"/>
                          <w:marTop w:val="0"/>
                          <w:marBottom w:val="0"/>
                          <w:divBdr>
                            <w:top w:val="none" w:sz="0" w:space="0" w:color="auto"/>
                            <w:left w:val="none" w:sz="0" w:space="0" w:color="auto"/>
                            <w:bottom w:val="none" w:sz="0" w:space="0" w:color="auto"/>
                            <w:right w:val="none" w:sz="0" w:space="0" w:color="auto"/>
                          </w:divBdr>
                          <w:divsChild>
                            <w:div w:id="1109736743">
                              <w:marLeft w:val="0"/>
                              <w:marRight w:val="0"/>
                              <w:marTop w:val="0"/>
                              <w:marBottom w:val="0"/>
                              <w:divBdr>
                                <w:top w:val="none" w:sz="0" w:space="0" w:color="auto"/>
                                <w:left w:val="none" w:sz="0" w:space="0" w:color="auto"/>
                                <w:bottom w:val="none" w:sz="0" w:space="0" w:color="auto"/>
                                <w:right w:val="none" w:sz="0" w:space="0" w:color="auto"/>
                              </w:divBdr>
                              <w:divsChild>
                                <w:div w:id="539364308">
                                  <w:marLeft w:val="0"/>
                                  <w:marRight w:val="0"/>
                                  <w:marTop w:val="0"/>
                                  <w:marBottom w:val="0"/>
                                  <w:divBdr>
                                    <w:top w:val="none" w:sz="0" w:space="0" w:color="auto"/>
                                    <w:left w:val="none" w:sz="0" w:space="0" w:color="auto"/>
                                    <w:bottom w:val="none" w:sz="0" w:space="0" w:color="auto"/>
                                    <w:right w:val="none" w:sz="0" w:space="0" w:color="auto"/>
                                  </w:divBdr>
                                </w:div>
                              </w:divsChild>
                            </w:div>
                            <w:div w:id="1671524074">
                              <w:marLeft w:val="0"/>
                              <w:marRight w:val="0"/>
                              <w:marTop w:val="0"/>
                              <w:marBottom w:val="0"/>
                              <w:divBdr>
                                <w:top w:val="none" w:sz="0" w:space="0" w:color="auto"/>
                                <w:left w:val="none" w:sz="0" w:space="0" w:color="auto"/>
                                <w:bottom w:val="none" w:sz="0" w:space="0" w:color="auto"/>
                                <w:right w:val="none" w:sz="0" w:space="0" w:color="auto"/>
                              </w:divBdr>
                              <w:divsChild>
                                <w:div w:id="7744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11016">
                      <w:marLeft w:val="0"/>
                      <w:marRight w:val="0"/>
                      <w:marTop w:val="0"/>
                      <w:marBottom w:val="195"/>
                      <w:divBdr>
                        <w:top w:val="none" w:sz="0" w:space="0" w:color="auto"/>
                        <w:left w:val="single" w:sz="6" w:space="0" w:color="EEEEEE"/>
                        <w:bottom w:val="none" w:sz="0" w:space="0" w:color="auto"/>
                        <w:right w:val="none" w:sz="0" w:space="0" w:color="auto"/>
                      </w:divBdr>
                      <w:divsChild>
                        <w:div w:id="769928987">
                          <w:marLeft w:val="0"/>
                          <w:marRight w:val="0"/>
                          <w:marTop w:val="0"/>
                          <w:marBottom w:val="0"/>
                          <w:divBdr>
                            <w:top w:val="none" w:sz="0" w:space="0" w:color="auto"/>
                            <w:left w:val="none" w:sz="0" w:space="0" w:color="auto"/>
                            <w:bottom w:val="none" w:sz="0" w:space="0" w:color="auto"/>
                            <w:right w:val="none" w:sz="0" w:space="0" w:color="auto"/>
                          </w:divBdr>
                          <w:divsChild>
                            <w:div w:id="1459496670">
                              <w:marLeft w:val="0"/>
                              <w:marRight w:val="0"/>
                              <w:marTop w:val="0"/>
                              <w:marBottom w:val="0"/>
                              <w:divBdr>
                                <w:top w:val="none" w:sz="0" w:space="0" w:color="auto"/>
                                <w:left w:val="none" w:sz="0" w:space="0" w:color="auto"/>
                                <w:bottom w:val="none" w:sz="0" w:space="0" w:color="auto"/>
                                <w:right w:val="none" w:sz="0" w:space="0" w:color="auto"/>
                              </w:divBdr>
                            </w:div>
                          </w:divsChild>
                        </w:div>
                        <w:div w:id="1861431941">
                          <w:marLeft w:val="0"/>
                          <w:marRight w:val="0"/>
                          <w:marTop w:val="0"/>
                          <w:marBottom w:val="0"/>
                          <w:divBdr>
                            <w:top w:val="none" w:sz="0" w:space="0" w:color="auto"/>
                            <w:left w:val="none" w:sz="0" w:space="0" w:color="auto"/>
                            <w:bottom w:val="none" w:sz="0" w:space="0" w:color="auto"/>
                            <w:right w:val="none" w:sz="0" w:space="0" w:color="auto"/>
                          </w:divBdr>
                          <w:divsChild>
                            <w:div w:id="116956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22495">
          <w:marLeft w:val="0"/>
          <w:marRight w:val="0"/>
          <w:marTop w:val="0"/>
          <w:marBottom w:val="0"/>
          <w:divBdr>
            <w:top w:val="none" w:sz="0" w:space="0" w:color="auto"/>
            <w:left w:val="none" w:sz="0" w:space="0" w:color="auto"/>
            <w:bottom w:val="none" w:sz="0" w:space="0" w:color="auto"/>
            <w:right w:val="none" w:sz="0" w:space="0" w:color="auto"/>
          </w:divBdr>
          <w:divsChild>
            <w:div w:id="1442921011">
              <w:marLeft w:val="0"/>
              <w:marRight w:val="0"/>
              <w:marTop w:val="0"/>
              <w:marBottom w:val="0"/>
              <w:divBdr>
                <w:top w:val="none" w:sz="0" w:space="0" w:color="auto"/>
                <w:left w:val="none" w:sz="0" w:space="0" w:color="auto"/>
                <w:bottom w:val="none" w:sz="0" w:space="0" w:color="auto"/>
                <w:right w:val="none" w:sz="0" w:space="0" w:color="auto"/>
              </w:divBdr>
              <w:divsChild>
                <w:div w:id="1308852085">
                  <w:marLeft w:val="0"/>
                  <w:marRight w:val="0"/>
                  <w:marTop w:val="0"/>
                  <w:marBottom w:val="0"/>
                  <w:divBdr>
                    <w:top w:val="none" w:sz="0" w:space="0" w:color="auto"/>
                    <w:left w:val="none" w:sz="0" w:space="0" w:color="auto"/>
                    <w:bottom w:val="none" w:sz="0" w:space="0" w:color="auto"/>
                    <w:right w:val="none" w:sz="0" w:space="0" w:color="auto"/>
                  </w:divBdr>
                  <w:divsChild>
                    <w:div w:id="1857690093">
                      <w:marLeft w:val="0"/>
                      <w:marRight w:val="0"/>
                      <w:marTop w:val="0"/>
                      <w:marBottom w:val="195"/>
                      <w:divBdr>
                        <w:top w:val="none" w:sz="0" w:space="0" w:color="auto"/>
                        <w:left w:val="none" w:sz="0" w:space="0" w:color="auto"/>
                        <w:bottom w:val="none" w:sz="0" w:space="0" w:color="auto"/>
                        <w:right w:val="none" w:sz="0" w:space="0" w:color="auto"/>
                      </w:divBdr>
                      <w:divsChild>
                        <w:div w:id="704595454">
                          <w:marLeft w:val="0"/>
                          <w:marRight w:val="0"/>
                          <w:marTop w:val="0"/>
                          <w:marBottom w:val="0"/>
                          <w:divBdr>
                            <w:top w:val="none" w:sz="0" w:space="0" w:color="auto"/>
                            <w:left w:val="none" w:sz="0" w:space="0" w:color="auto"/>
                            <w:bottom w:val="none" w:sz="0" w:space="0" w:color="auto"/>
                            <w:right w:val="none" w:sz="0" w:space="0" w:color="auto"/>
                          </w:divBdr>
                          <w:divsChild>
                            <w:div w:id="897133802">
                              <w:marLeft w:val="0"/>
                              <w:marRight w:val="0"/>
                              <w:marTop w:val="0"/>
                              <w:marBottom w:val="0"/>
                              <w:divBdr>
                                <w:top w:val="none" w:sz="0" w:space="0" w:color="auto"/>
                                <w:left w:val="none" w:sz="0" w:space="0" w:color="auto"/>
                                <w:bottom w:val="none" w:sz="0" w:space="0" w:color="auto"/>
                                <w:right w:val="none" w:sz="0" w:space="0" w:color="auto"/>
                              </w:divBdr>
                            </w:div>
                          </w:divsChild>
                        </w:div>
                        <w:div w:id="468059599">
                          <w:marLeft w:val="0"/>
                          <w:marRight w:val="0"/>
                          <w:marTop w:val="0"/>
                          <w:marBottom w:val="0"/>
                          <w:divBdr>
                            <w:top w:val="none" w:sz="0" w:space="0" w:color="auto"/>
                            <w:left w:val="none" w:sz="0" w:space="0" w:color="auto"/>
                            <w:bottom w:val="none" w:sz="0" w:space="0" w:color="auto"/>
                            <w:right w:val="none" w:sz="0" w:space="0" w:color="auto"/>
                          </w:divBdr>
                          <w:divsChild>
                            <w:div w:id="7421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27792">
                      <w:marLeft w:val="0"/>
                      <w:marRight w:val="0"/>
                      <w:marTop w:val="0"/>
                      <w:marBottom w:val="195"/>
                      <w:divBdr>
                        <w:top w:val="none" w:sz="0" w:space="0" w:color="auto"/>
                        <w:left w:val="single" w:sz="6" w:space="0" w:color="EEEEEE"/>
                        <w:bottom w:val="none" w:sz="0" w:space="0" w:color="auto"/>
                        <w:right w:val="none" w:sz="0" w:space="0" w:color="auto"/>
                      </w:divBdr>
                      <w:divsChild>
                        <w:div w:id="378870237">
                          <w:marLeft w:val="0"/>
                          <w:marRight w:val="0"/>
                          <w:marTop w:val="0"/>
                          <w:marBottom w:val="0"/>
                          <w:divBdr>
                            <w:top w:val="none" w:sz="0" w:space="0" w:color="auto"/>
                            <w:left w:val="none" w:sz="0" w:space="0" w:color="auto"/>
                            <w:bottom w:val="none" w:sz="0" w:space="0" w:color="auto"/>
                            <w:right w:val="none" w:sz="0" w:space="0" w:color="auto"/>
                          </w:divBdr>
                          <w:divsChild>
                            <w:div w:id="712389189">
                              <w:marLeft w:val="0"/>
                              <w:marRight w:val="0"/>
                              <w:marTop w:val="0"/>
                              <w:marBottom w:val="0"/>
                              <w:divBdr>
                                <w:top w:val="none" w:sz="0" w:space="0" w:color="auto"/>
                                <w:left w:val="none" w:sz="0" w:space="0" w:color="auto"/>
                                <w:bottom w:val="none" w:sz="0" w:space="0" w:color="auto"/>
                                <w:right w:val="none" w:sz="0" w:space="0" w:color="auto"/>
                              </w:divBdr>
                            </w:div>
                          </w:divsChild>
                        </w:div>
                        <w:div w:id="1431508500">
                          <w:marLeft w:val="0"/>
                          <w:marRight w:val="0"/>
                          <w:marTop w:val="0"/>
                          <w:marBottom w:val="0"/>
                          <w:divBdr>
                            <w:top w:val="none" w:sz="0" w:space="0" w:color="auto"/>
                            <w:left w:val="none" w:sz="0" w:space="0" w:color="auto"/>
                            <w:bottom w:val="none" w:sz="0" w:space="0" w:color="auto"/>
                            <w:right w:val="none" w:sz="0" w:space="0" w:color="auto"/>
                          </w:divBdr>
                          <w:divsChild>
                            <w:div w:id="10490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90232">
                      <w:marLeft w:val="0"/>
                      <w:marRight w:val="0"/>
                      <w:marTop w:val="0"/>
                      <w:marBottom w:val="195"/>
                      <w:divBdr>
                        <w:top w:val="none" w:sz="0" w:space="0" w:color="auto"/>
                        <w:left w:val="single" w:sz="6" w:space="0" w:color="EEEEEE"/>
                        <w:bottom w:val="none" w:sz="0" w:space="0" w:color="auto"/>
                        <w:right w:val="none" w:sz="0" w:space="0" w:color="auto"/>
                      </w:divBdr>
                      <w:divsChild>
                        <w:div w:id="1890069706">
                          <w:marLeft w:val="0"/>
                          <w:marRight w:val="0"/>
                          <w:marTop w:val="0"/>
                          <w:marBottom w:val="0"/>
                          <w:divBdr>
                            <w:top w:val="none" w:sz="0" w:space="0" w:color="auto"/>
                            <w:left w:val="none" w:sz="0" w:space="0" w:color="auto"/>
                            <w:bottom w:val="none" w:sz="0" w:space="0" w:color="auto"/>
                            <w:right w:val="none" w:sz="0" w:space="0" w:color="auto"/>
                          </w:divBdr>
                          <w:divsChild>
                            <w:div w:id="660818859">
                              <w:marLeft w:val="0"/>
                              <w:marRight w:val="0"/>
                              <w:marTop w:val="0"/>
                              <w:marBottom w:val="0"/>
                              <w:divBdr>
                                <w:top w:val="none" w:sz="0" w:space="0" w:color="auto"/>
                                <w:left w:val="none" w:sz="0" w:space="0" w:color="auto"/>
                                <w:bottom w:val="none" w:sz="0" w:space="0" w:color="auto"/>
                                <w:right w:val="none" w:sz="0" w:space="0" w:color="auto"/>
                              </w:divBdr>
                            </w:div>
                          </w:divsChild>
                        </w:div>
                        <w:div w:id="764234010">
                          <w:marLeft w:val="0"/>
                          <w:marRight w:val="0"/>
                          <w:marTop w:val="0"/>
                          <w:marBottom w:val="0"/>
                          <w:divBdr>
                            <w:top w:val="none" w:sz="0" w:space="0" w:color="auto"/>
                            <w:left w:val="none" w:sz="0" w:space="0" w:color="auto"/>
                            <w:bottom w:val="none" w:sz="0" w:space="0" w:color="auto"/>
                            <w:right w:val="none" w:sz="0" w:space="0" w:color="auto"/>
                          </w:divBdr>
                          <w:divsChild>
                            <w:div w:id="16415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43857">
                      <w:marLeft w:val="0"/>
                      <w:marRight w:val="0"/>
                      <w:marTop w:val="0"/>
                      <w:marBottom w:val="195"/>
                      <w:divBdr>
                        <w:top w:val="none" w:sz="0" w:space="0" w:color="auto"/>
                        <w:left w:val="none" w:sz="0" w:space="0" w:color="auto"/>
                        <w:bottom w:val="none" w:sz="0" w:space="0" w:color="auto"/>
                        <w:right w:val="none" w:sz="0" w:space="0" w:color="auto"/>
                      </w:divBdr>
                      <w:divsChild>
                        <w:div w:id="2075925511">
                          <w:marLeft w:val="0"/>
                          <w:marRight w:val="0"/>
                          <w:marTop w:val="0"/>
                          <w:marBottom w:val="0"/>
                          <w:divBdr>
                            <w:top w:val="none" w:sz="0" w:space="0" w:color="auto"/>
                            <w:left w:val="none" w:sz="0" w:space="0" w:color="auto"/>
                            <w:bottom w:val="none" w:sz="0" w:space="0" w:color="auto"/>
                            <w:right w:val="none" w:sz="0" w:space="0" w:color="auto"/>
                          </w:divBdr>
                          <w:divsChild>
                            <w:div w:id="1877502263">
                              <w:marLeft w:val="0"/>
                              <w:marRight w:val="0"/>
                              <w:marTop w:val="0"/>
                              <w:marBottom w:val="0"/>
                              <w:divBdr>
                                <w:top w:val="none" w:sz="0" w:space="0" w:color="auto"/>
                                <w:left w:val="none" w:sz="0" w:space="0" w:color="auto"/>
                                <w:bottom w:val="none" w:sz="0" w:space="0" w:color="auto"/>
                                <w:right w:val="none" w:sz="0" w:space="0" w:color="auto"/>
                              </w:divBdr>
                            </w:div>
                          </w:divsChild>
                        </w:div>
                        <w:div w:id="1778713567">
                          <w:marLeft w:val="0"/>
                          <w:marRight w:val="0"/>
                          <w:marTop w:val="0"/>
                          <w:marBottom w:val="0"/>
                          <w:divBdr>
                            <w:top w:val="none" w:sz="0" w:space="0" w:color="auto"/>
                            <w:left w:val="none" w:sz="0" w:space="0" w:color="auto"/>
                            <w:bottom w:val="none" w:sz="0" w:space="0" w:color="auto"/>
                            <w:right w:val="none" w:sz="0" w:space="0" w:color="auto"/>
                          </w:divBdr>
                          <w:divsChild>
                            <w:div w:id="12755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554552">
      <w:bodyDiv w:val="1"/>
      <w:marLeft w:val="0"/>
      <w:marRight w:val="0"/>
      <w:marTop w:val="0"/>
      <w:marBottom w:val="0"/>
      <w:divBdr>
        <w:top w:val="none" w:sz="0" w:space="0" w:color="auto"/>
        <w:left w:val="none" w:sz="0" w:space="0" w:color="auto"/>
        <w:bottom w:val="none" w:sz="0" w:space="0" w:color="auto"/>
        <w:right w:val="none" w:sz="0" w:space="0" w:color="auto"/>
      </w:divBdr>
      <w:divsChild>
        <w:div w:id="1942911995">
          <w:marLeft w:val="-300"/>
          <w:marRight w:val="-300"/>
          <w:marTop w:val="0"/>
          <w:marBottom w:val="150"/>
          <w:divBdr>
            <w:top w:val="none" w:sz="0" w:space="0" w:color="auto"/>
            <w:left w:val="none" w:sz="0" w:space="0" w:color="auto"/>
            <w:bottom w:val="single" w:sz="6" w:space="0" w:color="E1E1E1"/>
            <w:right w:val="none" w:sz="0" w:space="0" w:color="auto"/>
          </w:divBdr>
          <w:divsChild>
            <w:div w:id="999581806">
              <w:marLeft w:val="0"/>
              <w:marRight w:val="0"/>
              <w:marTop w:val="0"/>
              <w:marBottom w:val="0"/>
              <w:divBdr>
                <w:top w:val="none" w:sz="0" w:space="0" w:color="auto"/>
                <w:left w:val="none" w:sz="0" w:space="0" w:color="auto"/>
                <w:bottom w:val="none" w:sz="0" w:space="0" w:color="auto"/>
                <w:right w:val="none" w:sz="0" w:space="0" w:color="auto"/>
              </w:divBdr>
              <w:divsChild>
                <w:div w:id="1840197747">
                  <w:marLeft w:val="0"/>
                  <w:marRight w:val="0"/>
                  <w:marTop w:val="0"/>
                  <w:marBottom w:val="0"/>
                  <w:divBdr>
                    <w:top w:val="none" w:sz="0" w:space="0" w:color="auto"/>
                    <w:left w:val="none" w:sz="0" w:space="0" w:color="auto"/>
                    <w:bottom w:val="none" w:sz="0" w:space="0" w:color="auto"/>
                    <w:right w:val="none" w:sz="0" w:space="0" w:color="auto"/>
                  </w:divBdr>
                  <w:divsChild>
                    <w:div w:id="1702125494">
                      <w:marLeft w:val="0"/>
                      <w:marRight w:val="0"/>
                      <w:marTop w:val="0"/>
                      <w:marBottom w:val="0"/>
                      <w:divBdr>
                        <w:top w:val="none" w:sz="0" w:space="0" w:color="auto"/>
                        <w:left w:val="none" w:sz="0" w:space="0" w:color="auto"/>
                        <w:bottom w:val="none" w:sz="0" w:space="0" w:color="auto"/>
                        <w:right w:val="none" w:sz="0" w:space="0" w:color="auto"/>
                      </w:divBdr>
                      <w:divsChild>
                        <w:div w:id="13633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019891">
          <w:marLeft w:val="0"/>
          <w:marRight w:val="0"/>
          <w:marTop w:val="0"/>
          <w:marBottom w:val="0"/>
          <w:divBdr>
            <w:top w:val="none" w:sz="0" w:space="0" w:color="auto"/>
            <w:left w:val="none" w:sz="0" w:space="0" w:color="auto"/>
            <w:bottom w:val="none" w:sz="0" w:space="0" w:color="auto"/>
            <w:right w:val="none" w:sz="0" w:space="0" w:color="auto"/>
          </w:divBdr>
          <w:divsChild>
            <w:div w:id="1570193876">
              <w:marLeft w:val="0"/>
              <w:marRight w:val="0"/>
              <w:marTop w:val="0"/>
              <w:marBottom w:val="0"/>
              <w:divBdr>
                <w:top w:val="none" w:sz="0" w:space="0" w:color="auto"/>
                <w:left w:val="none" w:sz="0" w:space="0" w:color="auto"/>
                <w:bottom w:val="none" w:sz="0" w:space="0" w:color="auto"/>
                <w:right w:val="none" w:sz="0" w:space="0" w:color="auto"/>
              </w:divBdr>
              <w:divsChild>
                <w:div w:id="1822118670">
                  <w:marLeft w:val="0"/>
                  <w:marRight w:val="0"/>
                  <w:marTop w:val="0"/>
                  <w:marBottom w:val="0"/>
                  <w:divBdr>
                    <w:top w:val="none" w:sz="0" w:space="0" w:color="auto"/>
                    <w:left w:val="none" w:sz="0" w:space="0" w:color="auto"/>
                    <w:bottom w:val="none" w:sz="0" w:space="0" w:color="auto"/>
                    <w:right w:val="none" w:sz="0" w:space="0" w:color="auto"/>
                  </w:divBdr>
                  <w:divsChild>
                    <w:div w:id="1294602401">
                      <w:marLeft w:val="0"/>
                      <w:marRight w:val="0"/>
                      <w:marTop w:val="300"/>
                      <w:marBottom w:val="0"/>
                      <w:divBdr>
                        <w:top w:val="none" w:sz="0" w:space="0" w:color="auto"/>
                        <w:left w:val="none" w:sz="0" w:space="0" w:color="auto"/>
                        <w:bottom w:val="none" w:sz="0" w:space="0" w:color="auto"/>
                        <w:right w:val="none" w:sz="0" w:space="0" w:color="auto"/>
                      </w:divBdr>
                      <w:divsChild>
                        <w:div w:id="2041513249">
                          <w:marLeft w:val="0"/>
                          <w:marRight w:val="300"/>
                          <w:marTop w:val="0"/>
                          <w:marBottom w:val="150"/>
                          <w:divBdr>
                            <w:top w:val="single" w:sz="6" w:space="8" w:color="2BB8F6"/>
                            <w:left w:val="single" w:sz="6" w:space="8" w:color="2BB8F6"/>
                            <w:bottom w:val="single" w:sz="6" w:space="8" w:color="2BB8F6"/>
                            <w:right w:val="single" w:sz="6" w:space="11" w:color="2BB8F6"/>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webSettings" Target="webSetting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image" Target="media/image3.png"/><Relationship Id="rId12" Type="http://schemas.microsoft.com/office/2007/relationships/hdphoto" Target="media/hdphoto1.wdp"/><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2" Type="http://schemas.openxmlformats.org/officeDocument/2006/relationships/settings" Target="setting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www.cpc.ncep.noaa.gov/" TargetMode="External"/><Relationship Id="rId11" Type="http://schemas.openxmlformats.org/officeDocument/2006/relationships/image" Target="media/image7.png"/><Relationship Id="rId24" Type="http://schemas.microsoft.com/office/2007/relationships/hdphoto" Target="media/hdphoto7.wdp"/><Relationship Id="rId32"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3.png"/><Relationship Id="rId28" Type="http://schemas.microsoft.com/office/2007/relationships/hdphoto" Target="media/hdphoto9.wdp"/><Relationship Id="rId10" Type="http://schemas.openxmlformats.org/officeDocument/2006/relationships/image" Target="media/image6.jpeg"/><Relationship Id="rId19" Type="http://schemas.openxmlformats.org/officeDocument/2006/relationships/image" Target="media/image11.png"/><Relationship Id="rId31" Type="http://schemas.openxmlformats.org/officeDocument/2006/relationships/image" Target="media/image17.emf"/><Relationship Id="rId4" Type="http://schemas.openxmlformats.org/officeDocument/2006/relationships/image" Target="media/image1.emf"/><Relationship Id="rId9" Type="http://schemas.openxmlformats.org/officeDocument/2006/relationships/image" Target="media/image5.em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5.png"/><Relationship Id="rId30" Type="http://schemas.microsoft.com/office/2007/relationships/hdphoto" Target="media/hdphoto10.wdp"/><Relationship Id="rId35" Type="http://schemas.openxmlformats.org/officeDocument/2006/relationships/theme" Target="theme/theme1.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16</Pages>
  <Words>1961</Words>
  <Characters>11178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Central Point School District 6</Company>
  <LinksUpToDate>false</LinksUpToDate>
  <CharactersWithSpaces>13113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Burdick</dc:creator>
  <cp:keywords/>
  <dc:description/>
  <cp:lastModifiedBy>Caroline Burdick</cp:lastModifiedBy>
  <cp:revision>2</cp:revision>
  <cp:lastPrinted>2017-01-30T22:35:00Z</cp:lastPrinted>
  <dcterms:created xsi:type="dcterms:W3CDTF">2017-01-30T22:08:00Z</dcterms:created>
  <dcterms:modified xsi:type="dcterms:W3CDTF">2017-01-30T23:42:00Z</dcterms:modified>
</cp:coreProperties>
</file>